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9A628">
      <w:pPr>
        <w:snapToGrid/>
        <w:spacing w:beforeAutospacing="0" w:afterAutospacing="0" w:line="620" w:lineRule="exact"/>
        <w:ind w:right="0" w:rightChars="0"/>
        <w:jc w:val="center"/>
        <w:rPr>
          <w:rFonts w:hint="eastAsia" w:ascii="华文中宋" w:hAnsi="华文中宋" w:eastAsia="华文中宋" w:cs="华文中宋"/>
          <w:b w:val="0"/>
          <w:sz w:val="44"/>
          <w:szCs w:val="44"/>
        </w:rPr>
      </w:pPr>
      <w:bookmarkStart w:id="0" w:name="_GoBack"/>
      <w:r>
        <w:rPr>
          <w:rFonts w:hint="eastAsia" w:ascii="华文中宋" w:hAnsi="华文中宋" w:eastAsia="华文中宋" w:cs="华文中宋"/>
          <w:b w:val="0"/>
          <w:sz w:val="44"/>
          <w:szCs w:val="44"/>
        </w:rPr>
        <w:t>民政部关于进一步加强基金会</w:t>
      </w:r>
    </w:p>
    <w:p w14:paraId="450D12FC">
      <w:pPr>
        <w:snapToGrid/>
        <w:spacing w:beforeAutospacing="0" w:afterAutospacing="0" w:line="620" w:lineRule="exact"/>
        <w:ind w:right="0" w:rightChars="0"/>
        <w:jc w:val="center"/>
        <w:rPr>
          <w:rFonts w:hint="eastAsia" w:ascii="华文中宋" w:hAnsi="华文中宋" w:eastAsia="华文中宋" w:cs="华文中宋"/>
          <w:b w:val="0"/>
          <w:sz w:val="44"/>
          <w:szCs w:val="44"/>
        </w:rPr>
      </w:pPr>
      <w:r>
        <w:rPr>
          <w:rFonts w:hint="eastAsia" w:ascii="华文中宋" w:hAnsi="华文中宋" w:eastAsia="华文中宋" w:cs="华文中宋"/>
          <w:b w:val="0"/>
          <w:sz w:val="44"/>
          <w:szCs w:val="44"/>
        </w:rPr>
        <w:t>专项基金管理工作的通知</w:t>
      </w:r>
    </w:p>
    <w:bookmarkEnd w:id="0"/>
    <w:p w14:paraId="5FE5992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right="0" w:rightChars="0"/>
        <w:jc w:val="center"/>
        <w:textAlignment w:val="auto"/>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pPr>
      <w:r>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t>民发〔2015〕241号</w:t>
      </w:r>
    </w:p>
    <w:p w14:paraId="556F658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right="0" w:rightChars="0"/>
        <w:jc w:val="center"/>
        <w:textAlignment w:val="auto"/>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pPr>
    </w:p>
    <w:p w14:paraId="4180B4A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right="0" w:rightChars="0"/>
        <w:jc w:val="both"/>
        <w:textAlignment w:val="auto"/>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pPr>
      <w:r>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t>各省、自治区、直辖市民政厅（局），各计划单列市民政局，新疆生产建设兵团民政局；各业务主管单位；各民政部登记的基金会：</w:t>
      </w:r>
    </w:p>
    <w:p w14:paraId="55F9F78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pPr>
      <w:r>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t>基金会专项基金接受基金会统一管理，不具备独立的法人资格。但最近一段时期，有的基金会过于追求专项基金数量的增长和筹款规模的扩大，忽视了事中事后监管，对专项基金的管理在一定程度上有所失控，陆续暴露出不少问题：有的专项基金以独立组织的名义开展活动，有的忽视了公开透明，有的偏离了公益宗旨，有的背离了捐赠人和受助人的需求，还有个别专项基金甚至为个人或企业牟取私利。这些行为不同程度地损害了基金会的社会公信力，给公益慈善事业带来了负面影响。为进一步加强专项基金管理工作，规范专项基金有关行为，维护捐赠人、受助人和基金会的合法权益，根据《中华人民共和国公益事业捐赠法》、《基金会管理条例》等法律法规，现将有关事项通知如下：</w:t>
      </w:r>
    </w:p>
    <w:p w14:paraId="50E6F9F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pPr>
      <w:r>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t>一、基金会对下设专项基金要严格履行监管职责，督促指导专项基金在本基金会的宗旨和业务范围内开展活动，对下设专项基金的所有活动切实承担起主体责任：</w:t>
      </w:r>
    </w:p>
    <w:p w14:paraId="3E598C0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pPr>
      <w:r>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t>一是严把设立关口。基金会要根据自己的管理能力合理适度发展专项基金。基金会应当明确专项基金设立和终止的条件和决策程序，并严格执行。基金会应当与发起人以签订协议的方式明确专项基金的设立目的、财产使用方式、各方的权利责任、终止条件和剩余财产的处理等。</w:t>
      </w:r>
    </w:p>
    <w:p w14:paraId="61D12FB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pPr>
      <w:r>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t>二是规范名称使用。基金会要监督专项基金使用带有基金会全称的规范名称。专项基金不得以独立组织的名义开展募捐、与其他组织和个人签订协议或开展其他活动；未经党政机关或者其他组织同意，不得以其名义对外宣传或开展业务活动。</w:t>
      </w:r>
    </w:p>
    <w:p w14:paraId="00E5A32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pPr>
      <w:r>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t>三是全面加强管理。基金会应当建立健全专项基金管理制度，对专项基金的活动实施全过程监管，对专项基金的人员实施严格管理。基金会应当根据专项基金的设立目的，按照捐赠协议的约定管理和使用捐赠财产，专款专用。专项基金列支管理成本时，捐赠协议有约定的，按照其约定；捐赠协议未约定的，除了为实现专项基金公益目的确有必要之外，一般不超过该专项基金年度总支出的10%。专项基金的收支应当全部纳入本基金会账户，不得使用其他单位、组织或个人账户，不得开设独立账户和刻制印章。专项基金不得再设立专项基金。</w:t>
      </w:r>
    </w:p>
    <w:p w14:paraId="382470B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pPr>
      <w:r>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t>四是落实信息公开。基金会应当做好专项基金的信息公开，对专项基金的设立和终止信息、管理架构和人员信息、开展的募捐和公益资助项目等信息依照有关法律法规进行全面及时披露。基金会应当按照业务主管单位和登记管理机关的要求，通过年度工作报告和其他方式就专项基金的情况进行报告、接受监管。</w:t>
      </w:r>
    </w:p>
    <w:p w14:paraId="53EB7A5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pPr>
      <w:r>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t>五是定期清理整顿。基金会应当定期对下设专项基金进行清理整顿，对于长期不开展活动、管理不善的专项基金要及时督促整改，必要时应当予以终止。专项基金终止的，基金会应当做好后续事宜，妥善处理剩余财产，保护专项基金捐赠人和受助人的合法权益。</w:t>
      </w:r>
    </w:p>
    <w:p w14:paraId="22A44E0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pPr>
      <w:r>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t>二、各业务主管单位应当要求基金会对下设专项基金的管理切实负起领导责任，主动了解专项基金的运作情况，并在思想政治工作、财务和人事管理、对外交往和重大活动等方面加强指导，监督其依法依规开展活动。业务主管单位发现基金会在专项基金管理方面有违法违规行为的，应当及时制止，给予告诫，并协助登记管理机关和其他有关部门进行查处。</w:t>
      </w:r>
    </w:p>
    <w:p w14:paraId="16B15B2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pPr>
      <w:r>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t>三、登记管理机关应当加强对专项基金的监督检查，发现违法违规行为的，应当依法给予行政处罚，并责令改正。同时，各级登记管理机关要对专项基金的管理工作及时进行总结，开展经验交流，树立正面典型，进一步推进专项基金健康有序发展。</w:t>
      </w:r>
    </w:p>
    <w:p w14:paraId="01EABCA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pPr>
      <w:r>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t>具有公益性捐赠税前扣除资格的社会团体的专项基金参照本通知执行。</w:t>
      </w:r>
    </w:p>
    <w:p w14:paraId="3F05B94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pPr>
    </w:p>
    <w:p w14:paraId="3C99029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right"/>
        <w:textAlignment w:val="auto"/>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pPr>
      <w:r>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t>民政部</w:t>
      </w:r>
    </w:p>
    <w:p w14:paraId="07F5375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right"/>
        <w:textAlignment w:val="auto"/>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pPr>
      <w:r>
        <w:rPr>
          <w:rFonts w:hint="default" w:ascii="方正仿宋_GB2312" w:hAnsi="Helvetica" w:eastAsia="方正仿宋_GB2312" w:cs="Helvetica"/>
          <w:b w:val="0"/>
          <w:bCs w:val="0"/>
          <w:i w:val="0"/>
          <w:iCs w:val="0"/>
          <w:caps w:val="0"/>
          <w:color w:val="auto"/>
          <w:spacing w:val="0"/>
          <w:kern w:val="0"/>
          <w:sz w:val="32"/>
          <w:szCs w:val="32"/>
          <w:shd w:val="clear" w:fill="FFFFFF"/>
          <w:lang w:val="en-US" w:eastAsia="zh-CN" w:bidi="ar"/>
        </w:rPr>
        <w:t>2015年12月24日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1F28A8D9-8E23-499F-856B-52FB0FAA92B7}"/>
  </w:font>
  <w:font w:name="方正仿宋_GB2312">
    <w:panose1 w:val="02000000000000000000"/>
    <w:charset w:val="86"/>
    <w:family w:val="auto"/>
    <w:pitch w:val="default"/>
    <w:sig w:usb0="A00002BF" w:usb1="184F6CFA" w:usb2="00000012" w:usb3="00000000" w:csb0="00040001" w:csb1="00000000"/>
    <w:embedRegular r:id="rId2" w:fontKey="{F4BE7C17-9A7A-4F37-BAC8-D03B62AB8F22}"/>
  </w:font>
  <w:font w:name="Helvetica">
    <w:altName w:val="Arial"/>
    <w:panose1 w:val="00000000000000000000"/>
    <w:charset w:val="00"/>
    <w:family w:val="auto"/>
    <w:pitch w:val="default"/>
    <w:sig w:usb0="00000000" w:usb1="00000000" w:usb2="00000000" w:usb3="00000000" w:csb0="00000000" w:csb1="00000000"/>
    <w:embedRegular r:id="rId3" w:fontKey="{699C21DA-0062-448F-820C-09610935F2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DUwNmI0ZjliNjgxYTgyNDQ5ZGVhOGQzOTA1ZTgifQ=="/>
  </w:docVars>
  <w:rsids>
    <w:rsidRoot w:val="701B12D1"/>
    <w:rsid w:val="08C76272"/>
    <w:rsid w:val="0BD229F1"/>
    <w:rsid w:val="1389559C"/>
    <w:rsid w:val="30777594"/>
    <w:rsid w:val="39386D6D"/>
    <w:rsid w:val="3C3144CC"/>
    <w:rsid w:val="43AA0493"/>
    <w:rsid w:val="466C009A"/>
    <w:rsid w:val="4E093A87"/>
    <w:rsid w:val="56C22BA8"/>
    <w:rsid w:val="647D00B4"/>
    <w:rsid w:val="6B352872"/>
    <w:rsid w:val="6C375918"/>
    <w:rsid w:val="701B1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1490</Words>
  <Characters>1504</Characters>
  <Lines>0</Lines>
  <Paragraphs>0</Paragraphs>
  <TotalTime>9</TotalTime>
  <ScaleCrop>false</ScaleCrop>
  <LinksUpToDate>false</LinksUpToDate>
  <CharactersWithSpaces>1505</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2024-08-25T07:48:00Z</dcterms:created>
  <dc:creator>小龙菇凉</dc:creator>
  <cp:lastModifiedBy>小龙菇凉</cp:lastModifiedBy>
  <dcterms:modified xsi:type="dcterms:W3CDTF">2024-08-25T08:04:13Z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5FE1DF42E2D7436A9A8545C2059DACB5_13</vt:lpwstr>
  </property>
</Properties>
</file>