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DA2B7">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snapToGrid/>
          <w:color w:val="auto"/>
          <w:kern w:val="2"/>
          <w:sz w:val="44"/>
          <w:szCs w:val="44"/>
          <w:lang w:val="en-US" w:eastAsia="zh-CN" w:bidi="ar-SA"/>
        </w:rPr>
        <w:t>湖南省株洲长鸿实验学校教育发展基金会</w:t>
      </w:r>
    </w:p>
    <w:bookmarkEnd w:id="0"/>
    <w:p w14:paraId="7C523432">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r>
        <w:rPr>
          <w:rFonts w:hint="eastAsia" w:ascii="方正小标宋简体" w:hAnsi="方正小标宋简体" w:eastAsia="方正小标宋简体" w:cs="方正小标宋简体"/>
          <w:b w:val="0"/>
          <w:bCs w:val="0"/>
          <w:snapToGrid/>
          <w:color w:val="auto"/>
          <w:kern w:val="2"/>
          <w:sz w:val="44"/>
          <w:szCs w:val="44"/>
          <w:lang w:val="en-US" w:eastAsia="zh-CN" w:bidi="ar-SA"/>
        </w:rPr>
        <w:t>保值增值投资管理制度</w:t>
      </w:r>
    </w:p>
    <w:p w14:paraId="14452878">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p>
    <w:p w14:paraId="14C87A1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第一条  </w:t>
      </w:r>
      <w:r>
        <w:rPr>
          <w:rFonts w:hint="eastAsia" w:ascii="方正仿宋_GB2312" w:hAnsi="方正仿宋_GB2312" w:eastAsia="方正仿宋_GB2312" w:cs="方正仿宋_GB2312"/>
          <w:sz w:val="32"/>
          <w:szCs w:val="32"/>
          <w:lang w:val="en-US" w:eastAsia="zh-CN"/>
        </w:rPr>
        <w:t>为了规范湖南省株洲长鸿实验学校教育发展基金会（以下简称本基金会）投资活动管理，提高投资效益，实现慈善财产的保值增值，促进持续健康发展。根据《中华人民共和国慈善法》《慈善组织保值增值投资活动管理暂行制度》等有关规定，特制订本制度。</w:t>
      </w:r>
    </w:p>
    <w:p w14:paraId="1EB2340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第二条  </w:t>
      </w:r>
      <w:r>
        <w:rPr>
          <w:rFonts w:hint="eastAsia" w:ascii="方正仿宋_GB2312" w:hAnsi="方正仿宋_GB2312" w:eastAsia="方正仿宋_GB2312" w:cs="方正仿宋_GB2312"/>
          <w:sz w:val="32"/>
          <w:szCs w:val="32"/>
          <w:lang w:val="en-US" w:eastAsia="zh-CN"/>
        </w:rPr>
        <w:t>本基金会开展投资活动遵循国家的法律法规，注重投资风险，充分、高效运用慈善财产，在确保年度慈善活动支出符合法定要求和捐赠财产及时足额拨付的前提下开展投资活动。</w:t>
      </w:r>
    </w:p>
    <w:p w14:paraId="6ABAA0C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第三条  </w:t>
      </w:r>
      <w:r>
        <w:rPr>
          <w:rFonts w:hint="eastAsia" w:ascii="方正仿宋_GB2312" w:hAnsi="方正仿宋_GB2312" w:eastAsia="方正仿宋_GB2312" w:cs="方正仿宋_GB2312"/>
          <w:sz w:val="32"/>
          <w:szCs w:val="32"/>
          <w:lang w:val="en-US" w:eastAsia="zh-CN"/>
        </w:rPr>
        <w:t>本基金会投资活动按相关程序进行请示报批，监事根据章程实行监督。</w:t>
      </w:r>
    </w:p>
    <w:p w14:paraId="71E3AAF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第四条  </w:t>
      </w:r>
      <w:r>
        <w:rPr>
          <w:rFonts w:hint="eastAsia" w:ascii="方正仿宋_GB2312" w:hAnsi="方正仿宋_GB2312" w:eastAsia="方正仿宋_GB2312" w:cs="方正仿宋_GB2312"/>
          <w:sz w:val="32"/>
          <w:szCs w:val="32"/>
          <w:lang w:val="en-US" w:eastAsia="zh-CN"/>
        </w:rPr>
        <w:t>投资范围包括银行定期存款、低风险的货币市场类或固定收益类金融产品，包括：货币基金、保本型银行理财产品、结构性存款等。</w:t>
      </w:r>
    </w:p>
    <w:p w14:paraId="64F1BD2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第五条  </w:t>
      </w:r>
      <w:r>
        <w:rPr>
          <w:rFonts w:hint="eastAsia" w:ascii="方正仿宋_GB2312" w:hAnsi="方正仿宋_GB2312" w:eastAsia="方正仿宋_GB2312" w:cs="方正仿宋_GB2312"/>
          <w:sz w:val="32"/>
          <w:szCs w:val="32"/>
          <w:lang w:val="en-US" w:eastAsia="zh-CN"/>
        </w:rPr>
        <w:t>投资活动年度计划纳入本基金会年度预算。本基金应及时回收到期的本金和收益，依法依规及时进行会计核算。</w:t>
      </w:r>
    </w:p>
    <w:p w14:paraId="1FF8A91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第六条  </w:t>
      </w:r>
      <w:r>
        <w:rPr>
          <w:rFonts w:hint="eastAsia" w:ascii="方正仿宋_GB2312" w:hAnsi="方正仿宋_GB2312" w:eastAsia="方正仿宋_GB2312" w:cs="方正仿宋_GB2312"/>
          <w:sz w:val="32"/>
          <w:szCs w:val="32"/>
          <w:lang w:val="en-US" w:eastAsia="zh-CN"/>
        </w:rPr>
        <w:t>指派专人跟踪投资的进展及安全状况，出现异常情况时按程序应及时报告，避免或减少损失。</w:t>
      </w:r>
    </w:p>
    <w:p w14:paraId="0A931A2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第七条  </w:t>
      </w:r>
      <w:r>
        <w:rPr>
          <w:rFonts w:hint="eastAsia" w:ascii="方正仿宋_GB2312" w:hAnsi="方正仿宋_GB2312" w:eastAsia="方正仿宋_GB2312" w:cs="方正仿宋_GB2312"/>
          <w:sz w:val="32"/>
          <w:szCs w:val="32"/>
          <w:lang w:val="en-US" w:eastAsia="zh-CN"/>
        </w:rPr>
        <w:t>本基金会根据投资活动的风险水平以及所能承受的损失程度，建立合理止损机制和风险准备金制度。</w:t>
      </w:r>
    </w:p>
    <w:p w14:paraId="7A549DC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第八条  </w:t>
      </w:r>
      <w:r>
        <w:rPr>
          <w:rFonts w:hint="eastAsia" w:ascii="方正仿宋_GB2312" w:hAnsi="方正仿宋_GB2312" w:eastAsia="方正仿宋_GB2312" w:cs="方正仿宋_GB2312"/>
          <w:sz w:val="32"/>
          <w:szCs w:val="32"/>
          <w:lang w:val="en-US" w:eastAsia="zh-CN"/>
        </w:rPr>
        <w:t>财务和资产管理制度、重大投资情况应当依法依规向社会公开，接受社会监督。</w:t>
      </w:r>
    </w:p>
    <w:p w14:paraId="316573A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第九条  </w:t>
      </w:r>
      <w:r>
        <w:rPr>
          <w:rFonts w:hint="eastAsia" w:ascii="方正仿宋_GB2312" w:hAnsi="方正仿宋_GB2312" w:eastAsia="方正仿宋_GB2312" w:cs="方正仿宋_GB2312"/>
          <w:sz w:val="32"/>
          <w:szCs w:val="32"/>
          <w:lang w:val="en-US" w:eastAsia="zh-CN"/>
        </w:rPr>
        <w:t>投资行为出现以下行为之一的，投资活动中止：</w:t>
      </w:r>
    </w:p>
    <w:p w14:paraId="42B6AA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1、投资项目出现风格漂移，不符合合同约定的：</w:t>
      </w:r>
    </w:p>
    <w:p w14:paraId="6536BD4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2、投资项目缺少标准化的操作流程和验收检查标准的；</w:t>
      </w:r>
    </w:p>
    <w:p w14:paraId="6CBCF87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3、投资项目内部运营活动缺乏合理独立内控机制的；</w:t>
      </w:r>
    </w:p>
    <w:p w14:paraId="51BC579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4、投资项目资产估值不正确，投资成本、收入、利得没有合理确认和记录的；</w:t>
      </w:r>
    </w:p>
    <w:p w14:paraId="131881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5、投资项目资产的收益水平、流动性不足的；</w:t>
      </w:r>
    </w:p>
    <w:p w14:paraId="13ABDFE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6、投资项目信息披露不及时、准确、全面、规范的；</w:t>
      </w:r>
    </w:p>
    <w:p w14:paraId="1923F29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7、其他应当中止的情形发生的。</w:t>
      </w:r>
    </w:p>
    <w:p w14:paraId="05C0ADE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第十条  </w:t>
      </w:r>
      <w:r>
        <w:rPr>
          <w:rFonts w:hint="eastAsia" w:ascii="方正仿宋_GB2312" w:hAnsi="方正仿宋_GB2312" w:eastAsia="方正仿宋_GB2312" w:cs="方正仿宋_GB2312"/>
          <w:sz w:val="32"/>
          <w:szCs w:val="32"/>
          <w:lang w:val="en-US" w:eastAsia="zh-CN"/>
        </w:rPr>
        <w:t>投资行为出现以下行为之一的，投资活动终止：</w:t>
      </w:r>
    </w:p>
    <w:p w14:paraId="6D8286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1、投资项目期限届满的；</w:t>
      </w:r>
    </w:p>
    <w:p w14:paraId="3B7B3BA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2、投资项目亏损达到本金 10%的；</w:t>
      </w:r>
    </w:p>
    <w:p w14:paraId="1142C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3、投资项目可能会影响本基金会宗旨和声誉的；</w:t>
      </w:r>
    </w:p>
    <w:p w14:paraId="067ADAD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4、委托第三方投资公司主体资格丧失或者被司法机关追究刑事责任的；</w:t>
      </w:r>
    </w:p>
    <w:p w14:paraId="26AC22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5、理事会认为应当终止的；</w:t>
      </w:r>
    </w:p>
    <w:p w14:paraId="123B2D9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6、其他应当终止的情形发生的。</w:t>
      </w:r>
    </w:p>
    <w:p w14:paraId="0A826FB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第十一条  </w:t>
      </w:r>
      <w:r>
        <w:rPr>
          <w:rFonts w:hint="eastAsia" w:ascii="方正仿宋_GB2312" w:hAnsi="方正仿宋_GB2312" w:eastAsia="方正仿宋_GB2312" w:cs="方正仿宋_GB2312"/>
          <w:sz w:val="32"/>
          <w:szCs w:val="32"/>
          <w:lang w:val="en-US" w:eastAsia="zh-CN"/>
        </w:rPr>
        <w:t>投资行为出现以下行为之一的，退出投资活动。</w:t>
      </w:r>
    </w:p>
    <w:p w14:paraId="6AA6AEB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1、投资项目被进行股权回购的；</w:t>
      </w:r>
    </w:p>
    <w:p w14:paraId="6F5365B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2、投资项目出现伪造、隐瞒投资项目风险的；</w:t>
      </w:r>
    </w:p>
    <w:p w14:paraId="082A5E9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3、理事会认为应当退出的；</w:t>
      </w:r>
    </w:p>
    <w:p w14:paraId="0CD00C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4、其他应当退出的情形发生的。</w:t>
      </w:r>
    </w:p>
    <w:p w14:paraId="60E656D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第十二条  </w:t>
      </w:r>
      <w:r>
        <w:rPr>
          <w:rFonts w:hint="eastAsia" w:ascii="方正仿宋_GB2312" w:hAnsi="方正仿宋_GB2312" w:eastAsia="方正仿宋_GB2312" w:cs="方正仿宋_GB2312"/>
          <w:sz w:val="32"/>
          <w:szCs w:val="32"/>
          <w:lang w:val="en-US" w:eastAsia="zh-CN"/>
        </w:rPr>
        <w:t>监事会负责对投资活动的日常监管，提出对投资活动的总体评价以及建议。</w:t>
      </w:r>
    </w:p>
    <w:p w14:paraId="2CFCEA2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第十三条  </w:t>
      </w:r>
      <w:r>
        <w:rPr>
          <w:rFonts w:hint="eastAsia" w:ascii="方正仿宋_GB2312" w:hAnsi="方正仿宋_GB2312" w:eastAsia="方正仿宋_GB2312" w:cs="方正仿宋_GB2312"/>
          <w:sz w:val="32"/>
          <w:szCs w:val="32"/>
          <w:lang w:val="en-US" w:eastAsia="zh-CN"/>
        </w:rPr>
        <w:t>在开展投资活动时，负责人、理事和工作人员应当遵守法律法规和本组织章程的规定，严格履行忠实、谨慎、勤勉义务。在开展投资活动时有违法违规行为，致使本基金会财产损失的，相关人员应当承担相应责任。</w:t>
      </w:r>
    </w:p>
    <w:p w14:paraId="2C65299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第十四条  </w:t>
      </w:r>
      <w:r>
        <w:rPr>
          <w:rFonts w:hint="eastAsia" w:ascii="方正仿宋_GB2312" w:hAnsi="方正仿宋_GB2312" w:eastAsia="方正仿宋_GB2312" w:cs="方正仿宋_GB2312"/>
          <w:sz w:val="32"/>
          <w:szCs w:val="32"/>
          <w:lang w:val="en-US" w:eastAsia="zh-CN"/>
        </w:rPr>
        <w:t>发生以下行为，本基金会应当对有关责任人员视情节轻重给予警告、辞退或开除处分；造成资产损失的，根据理事会决议进行赔偿:触犯法律的，移交司法机关处理。</w:t>
      </w:r>
    </w:p>
    <w:p w14:paraId="7A23B5D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（一）在投资活动中，利用本基金会资产为自己或他人谋取私利；</w:t>
      </w:r>
    </w:p>
    <w:p w14:paraId="5AFC676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（二）玩忽职守；</w:t>
      </w:r>
    </w:p>
    <w:p w14:paraId="2B95579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（三）在投资活动中泄露秘密；</w:t>
      </w:r>
    </w:p>
    <w:p w14:paraId="3EC1FC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（四）其他可能损害本基金会信誉或可能造成本基金会资产损失的行为。</w:t>
      </w:r>
    </w:p>
    <w:p w14:paraId="5EE19AB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第十五条  </w:t>
      </w:r>
      <w:r>
        <w:rPr>
          <w:rFonts w:hint="eastAsia" w:ascii="方正仿宋_GB2312" w:hAnsi="方正仿宋_GB2312" w:eastAsia="方正仿宋_GB2312" w:cs="方正仿宋_GB2312"/>
          <w:sz w:val="32"/>
          <w:szCs w:val="32"/>
          <w:lang w:val="en-US" w:eastAsia="zh-CN"/>
        </w:rPr>
        <w:t>本制度未尽事宜按照国家相关法律法规和本基金会相关规定执行。</w:t>
      </w:r>
    </w:p>
    <w:p w14:paraId="03F9B63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第十六条  </w:t>
      </w:r>
      <w:r>
        <w:rPr>
          <w:rFonts w:hint="eastAsia" w:ascii="方正仿宋_GB2312" w:hAnsi="方正仿宋_GB2312" w:eastAsia="方正仿宋_GB2312" w:cs="方正仿宋_GB2312"/>
          <w:sz w:val="32"/>
          <w:szCs w:val="32"/>
          <w:lang w:val="en-US" w:eastAsia="zh-CN"/>
        </w:rPr>
        <w:t>本制度的解释权归湖南省株洲长鸿实验学校教育发展基金会。</w:t>
      </w:r>
    </w:p>
    <w:p w14:paraId="7C00C71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第十七条  </w:t>
      </w:r>
      <w:r>
        <w:rPr>
          <w:rFonts w:hint="eastAsia" w:ascii="方正仿宋_GB2312" w:hAnsi="方正仿宋_GB2312" w:eastAsia="方正仿宋_GB2312" w:cs="方正仿宋_GB2312"/>
          <w:sz w:val="32"/>
          <w:szCs w:val="32"/>
          <w:lang w:val="en-US" w:eastAsia="zh-CN"/>
        </w:rPr>
        <w:t>本制度经基金会理事会通过后执行。</w:t>
      </w:r>
    </w:p>
    <w:p w14:paraId="330D55D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69F17B0-083E-4459-87FC-DF6F63565EFB}"/>
  </w:font>
  <w:font w:name="方正小标宋简体">
    <w:panose1 w:val="02000000000000000000"/>
    <w:charset w:val="86"/>
    <w:family w:val="auto"/>
    <w:pitch w:val="default"/>
    <w:sig w:usb0="00000001" w:usb1="08000000" w:usb2="00000000" w:usb3="00000000" w:csb0="00040000" w:csb1="00000000"/>
    <w:embedRegular r:id="rId2" w:fontKey="{01D89635-C9C9-4615-B8D1-A7851C2E18B6}"/>
  </w:font>
  <w:font w:name="方正仿宋_GB2312">
    <w:panose1 w:val="02000000000000000000"/>
    <w:charset w:val="86"/>
    <w:family w:val="auto"/>
    <w:pitch w:val="default"/>
    <w:sig w:usb0="A00002BF" w:usb1="184F6CFA" w:usb2="00000012" w:usb3="00000000" w:csb0="00040001" w:csb1="00000000"/>
    <w:embedRegular r:id="rId3" w:fontKey="{7C9E6FD6-88FA-4649-BFAC-600F68A28F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2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B5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DB5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00D6C1C"/>
    <w:rsid w:val="02D16896"/>
    <w:rsid w:val="07303057"/>
    <w:rsid w:val="20FF7618"/>
    <w:rsid w:val="298570E5"/>
    <w:rsid w:val="394127EA"/>
    <w:rsid w:val="4DC63D42"/>
    <w:rsid w:val="51D16900"/>
    <w:rsid w:val="546C121E"/>
    <w:rsid w:val="595D7B14"/>
    <w:rsid w:val="7D827954"/>
    <w:rsid w:val="7F6B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spacing w:before="0" w:beforeAutospacing="1" w:after="0" w:afterAutospacing="1"/>
      <w:ind w:left="0" w:right="0" w:firstLine="0" w:firstLineChars="0"/>
      <w:jc w:val="left"/>
    </w:pPr>
    <w:rPr>
      <w:rFonts w:asciiTheme="minorHAnsi" w:hAnsiTheme="minorHAnsi" w:eastAsiaTheme="minorEastAsia"/>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34"/>
    <w:pPr>
      <w:spacing w:before="120" w:after="120"/>
      <w:ind w:firstLine="420" w:firstLineChars="200"/>
    </w:pPr>
    <w:rPr>
      <w:rFonts w:ascii="宋体" w:hAnsi="宋体"/>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1272</Words>
  <Characters>1274</Characters>
  <Lines>0</Lines>
  <Paragraphs>0</Paragraphs>
  <TotalTime>1</TotalTime>
  <ScaleCrop>false</ScaleCrop>
  <LinksUpToDate>false</LinksUpToDate>
  <CharactersWithSpaces>1309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2024-07-02T07:39:00Z</dcterms:created>
  <dc:creator>Administrator</dc:creator>
  <cp:lastModifiedBy>别扭。</cp:lastModifiedBy>
  <dcterms:modified xsi:type="dcterms:W3CDTF">2025-09-25T02:05:10Z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7D1E51D6E1D848E48C25A30CB394F015_13</vt:lpwstr>
  </property>
  <property fmtid="{D5CDD505-2E9C-101B-9397-08002B2CF9AE}" pid="4" name="KSOTemplateDocerSaveRecord">
    <vt:lpwstr>eyJoZGlkIjoiNzRlOGZlYWMyNjIyZmI4NWMyZjc1ZTVhNjljMWJhNTQiLCJ1c2VySWQiOiIyMDU1OTgxMjkifQ==</vt:lpwstr>
  </property>
</Properties>
</file>