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CD0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湖南省株洲长鸿实验学校教育发展基金会采购管理制度</w:t>
      </w:r>
    </w:p>
    <w:p w14:paraId="28D2A69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</w:p>
    <w:p w14:paraId="60B6649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34" w:right="91" w:firstLine="65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第一条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 为了适应社会发展形势，规范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 w:bidi="zh-CN"/>
        </w:rPr>
        <w:t>湖南省株洲长鸿实验学校教育发展基金会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采购管理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，根据《中华人民共和国政府采购法》和《中华人民共和国招标投标法》相关规定，并结合实际情况制定本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采购管理制度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。</w:t>
      </w:r>
    </w:p>
    <w:p w14:paraId="023FC98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34" w:right="91" w:firstLine="65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第二条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本单位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实施的各类采购活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动，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需遵循以下原则：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预算节约、公开透明、诚实信用，优先采购本国产品、节能产品，同等条件下就近采购，不得化整为零。</w:t>
      </w:r>
    </w:p>
    <w:p w14:paraId="26D4009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34" w:right="91" w:firstLine="65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第三条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 本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制度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适用于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本单位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常规工作开展中所涉及的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物资采购、设备采购、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各类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服务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信息系统开发类、咨询服务类和设计制作类等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采购事宜。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突发应急的货物（服务）采购可以经由本单位理事长确认进行临时处理。</w:t>
      </w:r>
    </w:p>
    <w:p w14:paraId="0FA1D5E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34" w:right="91" w:firstLine="65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第四条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负责采购的相关部门在采购前须提出采购申请，内容包括采购方式、采购项目的名称、采购预算、采购数量、资金来源、交货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工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时间、技术指标和服务要求。按程序报秘书长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理事长批准。</w:t>
      </w:r>
    </w:p>
    <w:p w14:paraId="7050FF6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34" w:right="91" w:firstLine="65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采购金额一次性达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highlight w:val="none"/>
        </w:rPr>
        <w:t>到100万元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含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以上的采购应采用公开招标方式进行采购。</w:t>
      </w:r>
    </w:p>
    <w:p w14:paraId="037FB0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34" w:right="91" w:firstLine="65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采购金额在100万元以下的采购，负责采购的相关部门须制定采购方案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由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综合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管理部和相关部门组成采购工作小组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采用比价询价方式进行采购。</w:t>
      </w:r>
    </w:p>
    <w:p w14:paraId="534B094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34" w:right="91" w:firstLine="65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签订采购合同。采购合同由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本单位秘书长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签字并加盖公章。合同供应商应具有合法经营主体资质，信誉及服务等条件良好。采购合同应明确以下内容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标的、数量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质量、价格、交货期限、付款条件及付款方式、验收交货方式及地点、违约责任等，还需提供对方的账户名称、账号、开户行等信息。</w:t>
      </w:r>
    </w:p>
    <w:p w14:paraId="1D90F62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34" w:right="91" w:firstLine="652"/>
        <w:jc w:val="left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napToGrid w:val="0"/>
          <w:color w:val="000000"/>
          <w:spacing w:val="21"/>
          <w:kern w:val="0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支付采购资金及验收。采购款一般分两次拨付，根据实际情况，首付比例可在20%—80%。支付尾款时需根据协议验收。合同履行过程中遇有特殊问题影响合同正常履行，应签订补充合同，与原合同具有同等法律效力。采购货物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或服务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到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  <w:lang w:val="en-US" w:eastAsia="zh-CN"/>
        </w:rPr>
        <w:t>本单位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21"/>
          <w:kern w:val="0"/>
          <w:sz w:val="32"/>
          <w:szCs w:val="32"/>
        </w:rPr>
        <w:t>或指定地点后，由负责采购的相关部门负责验收。</w:t>
      </w:r>
    </w:p>
    <w:p w14:paraId="681843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本制度的解释权归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湖南省株洲长鸿实验学校教育发展基金会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7046091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十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本制度经基金会理事会通过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2"/>
          <w:szCs w:val="32"/>
          <w:lang w:val="en-US" w:eastAsia="zh-CN" w:bidi="zh-CN"/>
        </w:rPr>
        <w:t>。</w:t>
      </w:r>
    </w:p>
    <w:p w14:paraId="7871FACB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AED6DA-1032-4F03-A487-DF21A4AB23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523722-4034-4B1F-8C5C-9DE2779B51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07E1FEF-98C7-41FE-B2FD-1EEDFA07ED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532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B5D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DB5D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GZlYWMyNjIyZmI4NWMyZjc1ZTVhNjljMWJhNTQifQ=="/>
  </w:docVars>
  <w:rsids>
    <w:rsidRoot w:val="00000000"/>
    <w:rsid w:val="02D16896"/>
    <w:rsid w:val="07303057"/>
    <w:rsid w:val="1D276846"/>
    <w:rsid w:val="1D55193F"/>
    <w:rsid w:val="1E922618"/>
    <w:rsid w:val="20FF7618"/>
    <w:rsid w:val="27D302AA"/>
    <w:rsid w:val="298570E5"/>
    <w:rsid w:val="394127EA"/>
    <w:rsid w:val="51D16900"/>
    <w:rsid w:val="64E610ED"/>
    <w:rsid w:val="7F6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 w:firstLine="0" w:firstLineChars="0"/>
      <w:jc w:val="left"/>
    </w:pPr>
    <w:rPr>
      <w:rFonts w:asciiTheme="minorHAnsi" w:hAnsiTheme="minorHAnsi" w:eastAsiaTheme="minorEastAsia"/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autoRedefine/>
    <w:qFormat/>
    <w:uiPriority w:val="34"/>
    <w:pPr>
      <w:spacing w:before="120" w:after="120"/>
      <w:ind w:firstLine="420" w:firstLineChars="200"/>
    </w:pPr>
    <w:rPr>
      <w:rFonts w:ascii="宋体" w:hAnsi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773</Characters>
  <Lines>0</Lines>
  <Paragraphs>0</Paragraphs>
  <TotalTime>0</TotalTime>
  <ScaleCrop>false</ScaleCrop>
  <LinksUpToDate>false</LinksUpToDate>
  <CharactersWithSpaces>783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2024-07-02T07:39:00Z</dcterms:created>
  <dc:creator>Administrator</dc:creator>
  <cp:lastModifiedBy>别扭。</cp:lastModifiedBy>
  <dcterms:modified xsi:type="dcterms:W3CDTF">2025-09-25T02:06:05Z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1B961684D35544848F80D91CD41E8887_13</vt:lpwstr>
  </property>
  <property fmtid="{D5CDD505-2E9C-101B-9397-08002B2CF9AE}" pid="4" name="KSOTemplateDocerSaveRecord">
    <vt:lpwstr>eyJoZGlkIjoiNzRlOGZlYWMyNjIyZmI4NWMyZjc1ZTVhNjljMWJhNTQiLCJ1c2VySWQiOiIyMDU1OTgxMjkifQ==</vt:lpwstr>
  </property>
</Properties>
</file>