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D61E6">
      <w:pPr>
        <w:pStyle w:val="11"/>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outlineLvl w:val="0"/>
        <w:rPr>
          <w:rFonts w:hint="eastAsia" w:ascii="方正小标宋简体" w:hAnsi="方正小标宋简体" w:eastAsia="方正小标宋简体" w:cs="方正小标宋简体"/>
          <w:b w:val="0"/>
          <w:bCs w:val="0"/>
          <w:snapToGrid/>
          <w:color w:val="auto"/>
          <w:kern w:val="2"/>
          <w:sz w:val="44"/>
          <w:szCs w:val="44"/>
          <w:lang w:val="en-US" w:eastAsia="zh-CN" w:bidi="ar-SA"/>
        </w:rPr>
      </w:pPr>
      <w:bookmarkStart w:id="0" w:name="_GoBack"/>
      <w:r>
        <w:rPr>
          <w:rFonts w:hint="eastAsia" w:ascii="方正小标宋简体" w:hAnsi="方正小标宋简体" w:eastAsia="方正小标宋简体" w:cs="方正小标宋简体"/>
          <w:b w:val="0"/>
          <w:bCs w:val="0"/>
          <w:snapToGrid/>
          <w:color w:val="auto"/>
          <w:kern w:val="2"/>
          <w:sz w:val="44"/>
          <w:szCs w:val="44"/>
          <w:lang w:val="en-US" w:eastAsia="zh-CN" w:bidi="ar-SA"/>
        </w:rPr>
        <w:t>湖南省株洲长鸿实验学校教育发展基金会</w:t>
      </w:r>
    </w:p>
    <w:bookmarkEnd w:id="0"/>
    <w:p w14:paraId="47F94668">
      <w:pPr>
        <w:pStyle w:val="11"/>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outlineLvl w:val="0"/>
        <w:rPr>
          <w:rFonts w:hint="eastAsia" w:ascii="方正小标宋简体" w:hAnsi="方正小标宋简体" w:eastAsia="方正小标宋简体" w:cs="方正小标宋简体"/>
          <w:b w:val="0"/>
          <w:bCs w:val="0"/>
          <w:snapToGrid/>
          <w:color w:val="auto"/>
          <w:kern w:val="2"/>
          <w:sz w:val="44"/>
          <w:szCs w:val="44"/>
          <w:lang w:val="en-US" w:eastAsia="zh-CN" w:bidi="ar-SA"/>
        </w:rPr>
      </w:pPr>
      <w:r>
        <w:rPr>
          <w:rFonts w:hint="eastAsia" w:ascii="方正小标宋简体" w:hAnsi="方正小标宋简体" w:eastAsia="方正小标宋简体" w:cs="方正小标宋简体"/>
          <w:b w:val="0"/>
          <w:bCs w:val="0"/>
          <w:snapToGrid/>
          <w:color w:val="auto"/>
          <w:kern w:val="2"/>
          <w:sz w:val="44"/>
          <w:szCs w:val="44"/>
          <w:lang w:val="en-US" w:eastAsia="zh-CN" w:bidi="ar-SA"/>
        </w:rPr>
        <w:t>关联方交易管理制度</w:t>
      </w:r>
    </w:p>
    <w:p w14:paraId="15485E6D">
      <w:pPr>
        <w:pStyle w:val="11"/>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outlineLvl w:val="0"/>
        <w:rPr>
          <w:rFonts w:hint="eastAsia" w:ascii="方正小标宋简体" w:hAnsi="方正小标宋简体" w:eastAsia="方正小标宋简体" w:cs="方正小标宋简体"/>
          <w:b w:val="0"/>
          <w:bCs w:val="0"/>
          <w:snapToGrid/>
          <w:color w:val="auto"/>
          <w:kern w:val="2"/>
          <w:sz w:val="44"/>
          <w:szCs w:val="44"/>
          <w:lang w:val="en-US" w:eastAsia="zh-CN" w:bidi="ar-SA"/>
        </w:rPr>
      </w:pPr>
    </w:p>
    <w:p w14:paraId="3E0B49BA">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为进一步规范</w:t>
      </w:r>
      <w:r>
        <w:rPr>
          <w:rFonts w:hint="eastAsia" w:ascii="方正仿宋_GB2312" w:hAnsi="方正仿宋_GB2312" w:eastAsia="方正仿宋_GB2312" w:cs="方正仿宋_GB2312"/>
          <w:sz w:val="32"/>
          <w:szCs w:val="32"/>
          <w:lang w:eastAsia="zh-CN"/>
        </w:rPr>
        <w:t>湖南省株洲长鸿实验学校教育发展基金会</w:t>
      </w:r>
      <w:r>
        <w:rPr>
          <w:rFonts w:hint="eastAsia" w:ascii="方正仿宋_GB2312" w:hAnsi="方正仿宋_GB2312" w:eastAsia="方正仿宋_GB2312" w:cs="方正仿宋_GB2312"/>
          <w:sz w:val="32"/>
          <w:szCs w:val="32"/>
        </w:rPr>
        <w:t>（以下简称基金会）的关联交易，保证关联交易的公允性，根据《</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民间非营利组织会计制度</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若干问题的解释》《慈善组织信息公开管理</w:t>
      </w:r>
      <w:r>
        <w:rPr>
          <w:rFonts w:hint="eastAsia" w:ascii="方正仿宋_GB2312" w:hAnsi="方正仿宋_GB2312" w:eastAsia="方正仿宋_GB2312" w:cs="方正仿宋_GB2312"/>
          <w:sz w:val="32"/>
          <w:szCs w:val="32"/>
          <w:lang w:eastAsia="zh-CN"/>
        </w:rPr>
        <w:t>制度</w:t>
      </w:r>
      <w:r>
        <w:rPr>
          <w:rFonts w:hint="eastAsia" w:ascii="方正仿宋_GB2312" w:hAnsi="方正仿宋_GB2312" w:eastAsia="方正仿宋_GB2312" w:cs="方正仿宋_GB2312"/>
          <w:sz w:val="32"/>
          <w:szCs w:val="32"/>
        </w:rPr>
        <w:t>》《基金会管理条例》《</w:t>
      </w:r>
      <w:r>
        <w:rPr>
          <w:rFonts w:hint="eastAsia" w:ascii="方正仿宋_GB2312" w:hAnsi="方正仿宋_GB2312" w:eastAsia="方正仿宋_GB2312" w:cs="方正仿宋_GB2312"/>
          <w:sz w:val="32"/>
          <w:szCs w:val="32"/>
          <w:lang w:eastAsia="zh-CN"/>
        </w:rPr>
        <w:t>湖南省株洲长鸿实验学校教育发展基金会</w:t>
      </w:r>
      <w:r>
        <w:rPr>
          <w:rFonts w:hint="eastAsia" w:ascii="方正仿宋_GB2312" w:hAnsi="方正仿宋_GB2312" w:eastAsia="方正仿宋_GB2312" w:cs="方正仿宋_GB2312"/>
          <w:sz w:val="32"/>
          <w:szCs w:val="32"/>
        </w:rPr>
        <w:t>章程》等有关规定</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结合基金会实际工作情况，制定本</w:t>
      </w:r>
      <w:r>
        <w:rPr>
          <w:rFonts w:hint="eastAsia" w:ascii="方正仿宋_GB2312" w:hAnsi="方正仿宋_GB2312" w:eastAsia="方正仿宋_GB2312" w:cs="方正仿宋_GB2312"/>
          <w:sz w:val="32"/>
          <w:szCs w:val="32"/>
          <w:lang w:eastAsia="zh-CN"/>
        </w:rPr>
        <w:t>制度</w:t>
      </w:r>
      <w:r>
        <w:rPr>
          <w:rFonts w:hint="eastAsia" w:ascii="方正仿宋_GB2312" w:hAnsi="方正仿宋_GB2312" w:eastAsia="方正仿宋_GB2312" w:cs="方正仿宋_GB2312"/>
          <w:sz w:val="32"/>
          <w:szCs w:val="32"/>
        </w:rPr>
        <w:t>。</w:t>
      </w:r>
    </w:p>
    <w:p w14:paraId="2B5498E9">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本</w:t>
      </w:r>
      <w:r>
        <w:rPr>
          <w:rFonts w:hint="eastAsia" w:ascii="方正仿宋_GB2312" w:hAnsi="方正仿宋_GB2312" w:eastAsia="方正仿宋_GB2312" w:cs="方正仿宋_GB2312"/>
          <w:sz w:val="32"/>
          <w:szCs w:val="32"/>
          <w:lang w:eastAsia="zh-CN"/>
        </w:rPr>
        <w:t>制度</w:t>
      </w:r>
      <w:r>
        <w:rPr>
          <w:rFonts w:hint="eastAsia" w:ascii="方正仿宋_GB2312" w:hAnsi="方正仿宋_GB2312" w:eastAsia="方正仿宋_GB2312" w:cs="方正仿宋_GB2312"/>
          <w:sz w:val="32"/>
          <w:szCs w:val="32"/>
        </w:rPr>
        <w:t>所称关联方，是指一方控制、共同控制另一方或对另一方施加重大影响，以及两方或两方以上同受一方控制、共同控制或重大影响的相关各方。以下各方构成基金会的关联方：</w:t>
      </w:r>
    </w:p>
    <w:p w14:paraId="73699B0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一、基金会的设立人及其所属机构的其他成员单位；</w:t>
      </w:r>
    </w:p>
    <w:p w14:paraId="11E5E49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二、基金会控制、共同控制或施加重大影响的企业；</w:t>
      </w:r>
    </w:p>
    <w:p w14:paraId="278E882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三、由基金会的设立人及其所属机构的其他成员单位共同控制或施加重大影响的企业；</w:t>
      </w:r>
    </w:p>
    <w:p w14:paraId="333BCEA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四、由基金会的设立人及其所属机构的其他成员单位设立的其他民间非营利组织；</w:t>
      </w:r>
    </w:p>
    <w:p w14:paraId="719A4A4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基金会的关键管理人员及与其关系密切的家庭成员。关键管理人员，是指有权力并负责计划、指挥和控制基金会活动的人员。与关键管理人员关系密切的家庭成员，是指在处理与基金会的交易时可能影响该个人或受该个人影响的家庭成员。关键管理人员一般包括：基金会理事长、理事、监事、秘书长等；</w:t>
      </w:r>
    </w:p>
    <w:p w14:paraId="21246D1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六、基金会的关键管理人员或与其关系密切的家庭成员控制、共同控制或施加重大影响的企业；</w:t>
      </w:r>
    </w:p>
    <w:p w14:paraId="3895BD8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七、基金会的关键管理人员或与其关系密切的家庭成员设立的其他民间非营利组织；</w:t>
      </w:r>
    </w:p>
    <w:p w14:paraId="293C19C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八、主要捐赠人。</w:t>
      </w:r>
    </w:p>
    <w:p w14:paraId="7DF64871">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基金会与关联方发生关联方交易的，应当按照《民间非营利组织会计制度》第七十一条第（十一）项规定，在会计报表附注中</w:t>
      </w:r>
      <w:r>
        <w:rPr>
          <w:rFonts w:hint="eastAsia" w:ascii="方正仿宋_GB2312" w:hAnsi="方正仿宋_GB2312" w:eastAsia="方正仿宋_GB2312" w:cs="方正仿宋_GB2312"/>
          <w:sz w:val="32"/>
          <w:szCs w:val="32"/>
          <w:lang w:val="en-US" w:eastAsia="zh-CN"/>
        </w:rPr>
        <w:t>进行披</w:t>
      </w:r>
      <w:r>
        <w:rPr>
          <w:rFonts w:hint="eastAsia" w:ascii="方正仿宋_GB2312" w:hAnsi="方正仿宋_GB2312" w:eastAsia="方正仿宋_GB2312" w:cs="方正仿宋_GB2312"/>
          <w:sz w:val="32"/>
          <w:szCs w:val="32"/>
        </w:rPr>
        <w:t>露。</w:t>
      </w:r>
    </w:p>
    <w:p w14:paraId="71361F85">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本</w:t>
      </w:r>
      <w:r>
        <w:rPr>
          <w:rFonts w:hint="eastAsia" w:ascii="方正仿宋_GB2312" w:hAnsi="方正仿宋_GB2312" w:eastAsia="方正仿宋_GB2312" w:cs="方正仿宋_GB2312"/>
          <w:sz w:val="32"/>
          <w:szCs w:val="32"/>
          <w:lang w:eastAsia="zh-CN"/>
        </w:rPr>
        <w:t>制度</w:t>
      </w:r>
      <w:r>
        <w:rPr>
          <w:rFonts w:hint="eastAsia" w:ascii="方正仿宋_GB2312" w:hAnsi="方正仿宋_GB2312" w:eastAsia="方正仿宋_GB2312" w:cs="方正仿宋_GB2312"/>
          <w:sz w:val="32"/>
          <w:szCs w:val="32"/>
        </w:rPr>
        <w:t>所称关联方交易，是指关联方之间转移资源、劳务或义务的行为。关联方交易的类型通常包括以下各项：</w:t>
      </w:r>
    </w:p>
    <w:p w14:paraId="2F1A8F3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一、</w:t>
      </w:r>
      <w:r>
        <w:rPr>
          <w:rFonts w:hint="eastAsia" w:ascii="方正仿宋_GB2312" w:hAnsi="方正仿宋_GB2312" w:eastAsia="方正仿宋_GB2312" w:cs="方正仿宋_GB2312"/>
          <w:sz w:val="32"/>
          <w:szCs w:val="32"/>
        </w:rPr>
        <w:t>基金会出资购买或向基金会销售商品或者服务；</w:t>
      </w:r>
    </w:p>
    <w:p w14:paraId="72A80D8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二、</w:t>
      </w:r>
      <w:r>
        <w:rPr>
          <w:rFonts w:hint="eastAsia" w:ascii="方正仿宋_GB2312" w:hAnsi="方正仿宋_GB2312" w:eastAsia="方正仿宋_GB2312" w:cs="方正仿宋_GB2312"/>
          <w:sz w:val="32"/>
          <w:szCs w:val="32"/>
        </w:rPr>
        <w:t>向基金会提供或者需要支付酬劳的劳务；</w:t>
      </w:r>
    </w:p>
    <w:p w14:paraId="4C73CE3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三、</w:t>
      </w:r>
      <w:r>
        <w:rPr>
          <w:rFonts w:hint="eastAsia" w:ascii="方正仿宋_GB2312" w:hAnsi="方正仿宋_GB2312" w:eastAsia="方正仿宋_GB2312" w:cs="方正仿宋_GB2312"/>
          <w:sz w:val="32"/>
          <w:szCs w:val="32"/>
        </w:rPr>
        <w:t>有偿代理、租赁；</w:t>
      </w:r>
    </w:p>
    <w:p w14:paraId="56A50EE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四、</w:t>
      </w:r>
      <w:r>
        <w:rPr>
          <w:rFonts w:hint="eastAsia" w:ascii="方正仿宋_GB2312" w:hAnsi="方正仿宋_GB2312" w:eastAsia="方正仿宋_GB2312" w:cs="方正仿宋_GB2312"/>
          <w:sz w:val="32"/>
          <w:szCs w:val="32"/>
        </w:rPr>
        <w:t>基金会向关联人提供资金；</w:t>
      </w:r>
    </w:p>
    <w:p w14:paraId="668C9D5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五、</w:t>
      </w:r>
      <w:r>
        <w:rPr>
          <w:rFonts w:hint="eastAsia" w:ascii="方正仿宋_GB2312" w:hAnsi="方正仿宋_GB2312" w:eastAsia="方正仿宋_GB2312" w:cs="方正仿宋_GB2312"/>
          <w:sz w:val="32"/>
          <w:szCs w:val="32"/>
        </w:rPr>
        <w:t>由关联人向基金会提供保值增值业务</w:t>
      </w:r>
      <w:r>
        <w:rPr>
          <w:rFonts w:hint="eastAsia" w:ascii="方正仿宋_GB2312" w:hAnsi="方正仿宋_GB2312" w:eastAsia="方正仿宋_GB2312" w:cs="方正仿宋_GB2312"/>
          <w:sz w:val="32"/>
          <w:szCs w:val="32"/>
          <w:lang w:eastAsia="zh-CN"/>
        </w:rPr>
        <w:t>；</w:t>
      </w:r>
    </w:p>
    <w:p w14:paraId="584EAFF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六、其他未列明关联交易事项。</w:t>
      </w:r>
    </w:p>
    <w:p w14:paraId="1A4E8DD7">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w:t>
      </w:r>
      <w:r>
        <w:rPr>
          <w:rFonts w:hint="eastAsia" w:ascii="方正仿宋_GB2312" w:hAnsi="方正仿宋_GB2312" w:eastAsia="方正仿宋_GB2312" w:cs="方正仿宋_GB2312"/>
          <w:b/>
          <w:bCs/>
          <w:sz w:val="32"/>
          <w:szCs w:val="32"/>
          <w:lang w:val="en-US" w:eastAsia="zh-CN"/>
        </w:rPr>
        <w:t>五</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rPr>
        <w:t xml:space="preserve"> 本</w:t>
      </w:r>
      <w:r>
        <w:rPr>
          <w:rFonts w:hint="eastAsia" w:ascii="方正仿宋_GB2312" w:hAnsi="方正仿宋_GB2312" w:eastAsia="方正仿宋_GB2312" w:cs="方正仿宋_GB2312"/>
          <w:sz w:val="32"/>
          <w:szCs w:val="32"/>
          <w:lang w:val="en-US" w:eastAsia="zh-CN"/>
        </w:rPr>
        <w:t>制度</w:t>
      </w:r>
      <w:r>
        <w:rPr>
          <w:rFonts w:hint="eastAsia" w:ascii="方正仿宋_GB2312" w:hAnsi="方正仿宋_GB2312" w:eastAsia="方正仿宋_GB2312" w:cs="方正仿宋_GB2312"/>
          <w:sz w:val="32"/>
          <w:szCs w:val="32"/>
        </w:rPr>
        <w:t>禁止的关联交易行为包括：</w:t>
      </w:r>
    </w:p>
    <w:p w14:paraId="6736581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一、</w:t>
      </w:r>
      <w:r>
        <w:rPr>
          <w:rFonts w:hint="eastAsia" w:ascii="方正仿宋_GB2312" w:hAnsi="方正仿宋_GB2312" w:eastAsia="方正仿宋_GB2312" w:cs="方正仿宋_GB2312"/>
          <w:sz w:val="32"/>
          <w:szCs w:val="32"/>
        </w:rPr>
        <w:t>由基金会向关联人自然人和关联法人提供担保；</w:t>
      </w:r>
    </w:p>
    <w:p w14:paraId="5A2A456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二、</w:t>
      </w:r>
      <w:r>
        <w:rPr>
          <w:rFonts w:hint="eastAsia" w:ascii="方正仿宋_GB2312" w:hAnsi="方正仿宋_GB2312" w:eastAsia="方正仿宋_GB2312" w:cs="方正仿宋_GB2312"/>
          <w:sz w:val="32"/>
          <w:szCs w:val="32"/>
        </w:rPr>
        <w:t>关联自然人不得与基金会有任何有偿交易行为，为关联人员发放薪酬福利的除外。</w:t>
      </w:r>
    </w:p>
    <w:p w14:paraId="15CA789D">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本</w:t>
      </w:r>
      <w:r>
        <w:rPr>
          <w:rFonts w:hint="eastAsia" w:ascii="方正仿宋_GB2312" w:hAnsi="方正仿宋_GB2312" w:eastAsia="方正仿宋_GB2312" w:cs="方正仿宋_GB2312"/>
          <w:sz w:val="32"/>
          <w:szCs w:val="32"/>
          <w:lang w:eastAsia="zh-CN"/>
        </w:rPr>
        <w:t>制度</w:t>
      </w:r>
      <w:r>
        <w:rPr>
          <w:rFonts w:hint="eastAsia" w:ascii="方正仿宋_GB2312" w:hAnsi="方正仿宋_GB2312" w:eastAsia="方正仿宋_GB2312" w:cs="方正仿宋_GB2312"/>
          <w:sz w:val="32"/>
          <w:szCs w:val="32"/>
        </w:rPr>
        <w:t>所称的交易要素，至少应当包括：</w:t>
      </w:r>
    </w:p>
    <w:p w14:paraId="3702472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一、交易的金额；</w:t>
      </w:r>
    </w:p>
    <w:p w14:paraId="56064CB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二、未结算项目的金额、条款和条件；</w:t>
      </w:r>
    </w:p>
    <w:p w14:paraId="106DA10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三、未结算应收项目的坏账准备金额；</w:t>
      </w:r>
    </w:p>
    <w:p w14:paraId="428D03F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四、定价政策。</w:t>
      </w:r>
    </w:p>
    <w:p w14:paraId="1F6B7550">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bCs/>
          <w:sz w:val="32"/>
          <w:szCs w:val="32"/>
        </w:rPr>
        <w:t>第</w:t>
      </w:r>
      <w:r>
        <w:rPr>
          <w:rFonts w:hint="eastAsia" w:ascii="方正仿宋_GB2312" w:hAnsi="方正仿宋_GB2312" w:eastAsia="方正仿宋_GB2312" w:cs="方正仿宋_GB2312"/>
          <w:b/>
          <w:bCs/>
          <w:sz w:val="32"/>
          <w:szCs w:val="32"/>
          <w:lang w:val="en-US" w:eastAsia="zh-CN"/>
        </w:rPr>
        <w:t>六</w:t>
      </w:r>
      <w:r>
        <w:rPr>
          <w:rFonts w:hint="eastAsia" w:ascii="方正仿宋_GB2312" w:hAnsi="方正仿宋_GB2312" w:eastAsia="方正仿宋_GB2312" w:cs="方正仿宋_GB2312"/>
          <w:b/>
          <w:bCs/>
          <w:sz w:val="32"/>
          <w:szCs w:val="32"/>
        </w:rPr>
        <w:t xml:space="preserve">条 </w:t>
      </w:r>
      <w:r>
        <w:rPr>
          <w:rFonts w:hint="eastAsia" w:ascii="方正仿宋_GB2312" w:hAnsi="方正仿宋_GB2312" w:eastAsia="方正仿宋_GB2312" w:cs="方正仿宋_GB2312"/>
          <w:b w:val="0"/>
          <w:bCs w:val="0"/>
          <w:sz w:val="32"/>
          <w:szCs w:val="32"/>
        </w:rPr>
        <w:t>关联交易决策应符合以下条件：</w:t>
      </w:r>
    </w:p>
    <w:p w14:paraId="59A69FE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lang w:val="en-US" w:eastAsia="zh-CN"/>
        </w:rPr>
        <w:t>一、</w:t>
      </w:r>
      <w:r>
        <w:rPr>
          <w:rFonts w:hint="eastAsia" w:ascii="方正仿宋_GB2312" w:hAnsi="方正仿宋_GB2312" w:eastAsia="方正仿宋_GB2312" w:cs="方正仿宋_GB2312"/>
          <w:b w:val="0"/>
          <w:bCs w:val="0"/>
          <w:sz w:val="32"/>
          <w:szCs w:val="32"/>
        </w:rPr>
        <w:t>关联交易须由理事会表决；</w:t>
      </w:r>
    </w:p>
    <w:p w14:paraId="23ED6EF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lang w:val="en-US" w:eastAsia="zh-CN"/>
        </w:rPr>
        <w:t>二、</w:t>
      </w:r>
      <w:r>
        <w:rPr>
          <w:rFonts w:hint="eastAsia" w:ascii="方正仿宋_GB2312" w:hAnsi="方正仿宋_GB2312" w:eastAsia="方正仿宋_GB2312" w:cs="方正仿宋_GB2312"/>
          <w:b w:val="0"/>
          <w:bCs w:val="0"/>
          <w:sz w:val="32"/>
          <w:szCs w:val="32"/>
        </w:rPr>
        <w:t>三分之二以上无关联关系的理事出席；</w:t>
      </w:r>
    </w:p>
    <w:p w14:paraId="766E00E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lang w:val="en-US" w:eastAsia="zh-CN"/>
        </w:rPr>
        <w:t>三、</w:t>
      </w:r>
      <w:r>
        <w:rPr>
          <w:rFonts w:hint="eastAsia" w:ascii="方正仿宋_GB2312" w:hAnsi="方正仿宋_GB2312" w:eastAsia="方正仿宋_GB2312" w:cs="方正仿宋_GB2312"/>
          <w:b w:val="0"/>
          <w:bCs w:val="0"/>
          <w:sz w:val="32"/>
          <w:szCs w:val="32"/>
        </w:rPr>
        <w:t>关联</w:t>
      </w:r>
      <w:r>
        <w:rPr>
          <w:rFonts w:hint="eastAsia" w:ascii="方正仿宋_GB2312" w:hAnsi="方正仿宋_GB2312" w:eastAsia="方正仿宋_GB2312" w:cs="方正仿宋_GB2312"/>
          <w:b w:val="0"/>
          <w:bCs w:val="0"/>
          <w:sz w:val="32"/>
          <w:szCs w:val="32"/>
          <w:lang w:eastAsia="zh-CN"/>
        </w:rPr>
        <w:t>董事</w:t>
      </w:r>
      <w:r>
        <w:rPr>
          <w:rFonts w:hint="eastAsia" w:ascii="方正仿宋_GB2312" w:hAnsi="方正仿宋_GB2312" w:eastAsia="方正仿宋_GB2312" w:cs="方正仿宋_GB2312"/>
          <w:b w:val="0"/>
          <w:bCs w:val="0"/>
          <w:sz w:val="32"/>
          <w:szCs w:val="32"/>
        </w:rPr>
        <w:t>不得参与</w:t>
      </w:r>
      <w:r>
        <w:rPr>
          <w:rFonts w:hint="eastAsia" w:ascii="方正仿宋_GB2312" w:hAnsi="方正仿宋_GB2312" w:eastAsia="方正仿宋_GB2312" w:cs="方正仿宋_GB2312"/>
          <w:b w:val="0"/>
          <w:bCs w:val="0"/>
          <w:sz w:val="32"/>
          <w:szCs w:val="32"/>
          <w:lang w:val="en-US" w:eastAsia="zh-CN"/>
        </w:rPr>
        <w:t>关联交易</w:t>
      </w:r>
      <w:r>
        <w:rPr>
          <w:rFonts w:hint="eastAsia" w:ascii="方正仿宋_GB2312" w:hAnsi="方正仿宋_GB2312" w:eastAsia="方正仿宋_GB2312" w:cs="方正仿宋_GB2312"/>
          <w:b w:val="0"/>
          <w:bCs w:val="0"/>
          <w:sz w:val="32"/>
          <w:szCs w:val="32"/>
        </w:rPr>
        <w:t>决策。</w:t>
      </w:r>
    </w:p>
    <w:p w14:paraId="3A2927B3">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w:t>
      </w:r>
      <w:r>
        <w:rPr>
          <w:rFonts w:hint="eastAsia" w:ascii="方正仿宋_GB2312" w:hAnsi="方正仿宋_GB2312" w:eastAsia="方正仿宋_GB2312" w:cs="方正仿宋_GB2312"/>
          <w:b/>
          <w:bCs/>
          <w:sz w:val="32"/>
          <w:szCs w:val="32"/>
          <w:lang w:val="en-US" w:eastAsia="zh-CN"/>
        </w:rPr>
        <w:t>七</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基金会在下列关联交易等行为发生后应当在统一信息平台向社会公开具体内容和金额：</w:t>
      </w:r>
    </w:p>
    <w:p w14:paraId="282A157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一、接受重要关联方捐赠；</w:t>
      </w:r>
    </w:p>
    <w:p w14:paraId="4B54FAD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二、对重要关联方进行资助；</w:t>
      </w:r>
    </w:p>
    <w:p w14:paraId="4ED70DD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三、与重要关联方共同投资；</w:t>
      </w:r>
    </w:p>
    <w:p w14:paraId="03FE5E4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四、委托重要关联方开展投资活动；</w:t>
      </w:r>
    </w:p>
    <w:p w14:paraId="48052ED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五、与重要关联方发生交易；</w:t>
      </w:r>
    </w:p>
    <w:p w14:paraId="1F00D57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六、与重要关联方发生资金往来。</w:t>
      </w:r>
    </w:p>
    <w:p w14:paraId="5D1C1172">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w:t>
      </w:r>
      <w:r>
        <w:rPr>
          <w:rFonts w:hint="eastAsia" w:ascii="方正仿宋_GB2312" w:hAnsi="方正仿宋_GB2312" w:eastAsia="方正仿宋_GB2312" w:cs="方正仿宋_GB2312"/>
          <w:b/>
          <w:bCs/>
          <w:sz w:val="32"/>
          <w:szCs w:val="32"/>
          <w:lang w:val="en-US" w:eastAsia="zh-CN"/>
        </w:rPr>
        <w:t>八</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基金会理事遇有个人利益与基金会利益关联时，不得参与相关事宜的决策；基金会理事、监事及其近亲属不得与其所在的基金会有任何交易行为。</w:t>
      </w:r>
    </w:p>
    <w:p w14:paraId="557A21EB">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w:t>
      </w:r>
      <w:r>
        <w:rPr>
          <w:rFonts w:hint="eastAsia" w:ascii="方正仿宋_GB2312" w:hAnsi="方正仿宋_GB2312" w:eastAsia="方正仿宋_GB2312" w:cs="方正仿宋_GB2312"/>
          <w:b/>
          <w:bCs/>
          <w:sz w:val="32"/>
          <w:szCs w:val="32"/>
          <w:lang w:val="en-US" w:eastAsia="zh-CN"/>
        </w:rPr>
        <w:t>九</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本制度未涉及或未尽的关联交易事项，按国家的有关规定执行。</w:t>
      </w:r>
    </w:p>
    <w:p w14:paraId="65C3CBAC">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w:t>
      </w:r>
      <w:r>
        <w:rPr>
          <w:rFonts w:hint="eastAsia" w:ascii="方正仿宋_GB2312" w:hAnsi="方正仿宋_GB2312" w:eastAsia="方正仿宋_GB2312" w:cs="方正仿宋_GB2312"/>
          <w:b/>
          <w:bCs/>
          <w:sz w:val="32"/>
          <w:szCs w:val="32"/>
          <w:lang w:val="en-US" w:eastAsia="zh-CN"/>
        </w:rPr>
        <w:t>十</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sz w:val="32"/>
          <w:szCs w:val="32"/>
        </w:rPr>
        <w:t>本制度的解释权归</w:t>
      </w:r>
      <w:r>
        <w:rPr>
          <w:rFonts w:hint="eastAsia" w:ascii="方正仿宋_GB2312" w:hAnsi="方正仿宋_GB2312" w:eastAsia="方正仿宋_GB2312" w:cs="方正仿宋_GB2312"/>
          <w:sz w:val="32"/>
          <w:szCs w:val="32"/>
          <w:lang w:eastAsia="zh-CN"/>
        </w:rPr>
        <w:t>湖南省株洲长鸿实验学校教育发展基金会</w:t>
      </w:r>
      <w:r>
        <w:rPr>
          <w:rFonts w:hint="eastAsia" w:ascii="方正仿宋_GB2312" w:hAnsi="方正仿宋_GB2312" w:eastAsia="方正仿宋_GB2312" w:cs="方正仿宋_GB2312"/>
          <w:sz w:val="32"/>
          <w:szCs w:val="32"/>
        </w:rPr>
        <w:t>。</w:t>
      </w:r>
    </w:p>
    <w:p w14:paraId="7F1D6BE8">
      <w:pPr>
        <w:pStyle w:val="11"/>
        <w:keepNext w:val="0"/>
        <w:keepLines w:val="0"/>
        <w:pageBreakBefore w:val="0"/>
        <w:wordWrap/>
        <w:overflowPunct/>
        <w:topLinePunct w:val="0"/>
        <w:bidi w:val="0"/>
        <w:spacing w:line="620" w:lineRule="exact"/>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rPr>
        <w:t>第</w:t>
      </w:r>
      <w:r>
        <w:rPr>
          <w:rFonts w:hint="eastAsia" w:ascii="方正仿宋_GB2312" w:hAnsi="方正仿宋_GB2312" w:eastAsia="方正仿宋_GB2312" w:cs="方正仿宋_GB2312"/>
          <w:b/>
          <w:bCs/>
          <w:sz w:val="32"/>
          <w:szCs w:val="32"/>
          <w:lang w:val="en-US" w:eastAsia="zh-CN"/>
        </w:rPr>
        <w:t>十一</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sz w:val="32"/>
          <w:szCs w:val="32"/>
        </w:rPr>
        <w:t>本制度经基金会理事会通过后执行</w:t>
      </w:r>
      <w:r>
        <w:rPr>
          <w:rFonts w:hint="eastAsia" w:ascii="方正仿宋_GB2312" w:hAnsi="方正仿宋_GB2312" w:eastAsia="方正仿宋_GB2312" w:cs="方正仿宋_GB2312"/>
          <w:sz w:val="32"/>
          <w:szCs w:val="32"/>
          <w:lang w:eastAsia="zh-CN"/>
        </w:rPr>
        <w:t>。</w:t>
      </w:r>
    </w:p>
    <w:p w14:paraId="4C946BB4">
      <w:pPr>
        <w:keepNext w:val="0"/>
        <w:keepLines w:val="0"/>
        <w:pageBreakBefore w:val="0"/>
        <w:wordWrap/>
        <w:overflowPunct/>
        <w:topLinePunct w:val="0"/>
        <w:bidi w:val="0"/>
        <w:spacing w:line="620" w:lineRule="exact"/>
        <w:rPr>
          <w:rFonts w:hint="eastAsia" w:ascii="方正仿宋_GB2312" w:hAnsi="方正仿宋_GB2312" w:eastAsia="方正仿宋_GB2312" w:cs="方正仿宋_GB2312"/>
          <w:sz w:val="32"/>
          <w:szCs w:val="32"/>
        </w:rPr>
      </w:pPr>
    </w:p>
    <w:p w14:paraId="73A7EA6F">
      <w:pPr>
        <w:rPr>
          <w:rFonts w:hint="eastAsia"/>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C8773F4-A84C-4684-B2C8-B36E98CDBEB3}"/>
  </w:font>
  <w:font w:name="方正小标宋简体">
    <w:panose1 w:val="02000000000000000000"/>
    <w:charset w:val="86"/>
    <w:family w:val="auto"/>
    <w:pitch w:val="default"/>
    <w:sig w:usb0="00000001" w:usb1="08000000" w:usb2="00000000" w:usb3="00000000" w:csb0="00040000" w:csb1="00000000"/>
    <w:embedRegular r:id="rId2" w:fontKey="{10F9F822-968F-462E-B302-68D0441723C9}"/>
  </w:font>
  <w:font w:name="方正仿宋_GB2312">
    <w:panose1 w:val="02000000000000000000"/>
    <w:charset w:val="86"/>
    <w:family w:val="auto"/>
    <w:pitch w:val="default"/>
    <w:sig w:usb0="A00002BF" w:usb1="184F6CFA" w:usb2="00000012" w:usb3="00000000" w:csb0="00040001" w:csb1="00000000"/>
    <w:embedRegular r:id="rId3" w:fontKey="{95EE95A1-8713-4D1F-97A1-BE30B5CE0D9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5322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DB5D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8DB5D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lOGZlYWMyNjIyZmI4NWMyZjc1ZTVhNjljMWJhNTQifQ=="/>
  </w:docVars>
  <w:rsids>
    <w:rsidRoot w:val="00000000"/>
    <w:rsid w:val="02D16896"/>
    <w:rsid w:val="07303057"/>
    <w:rsid w:val="12E9248D"/>
    <w:rsid w:val="20FF7618"/>
    <w:rsid w:val="298570E5"/>
    <w:rsid w:val="339923AA"/>
    <w:rsid w:val="394127EA"/>
    <w:rsid w:val="3EFE4BDC"/>
    <w:rsid w:val="45A9785C"/>
    <w:rsid w:val="49EF361C"/>
    <w:rsid w:val="51D16900"/>
    <w:rsid w:val="7F6B7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2"/>
    <w:basedOn w:val="1"/>
    <w:next w:val="1"/>
    <w:qFormat/>
    <w:uiPriority w:val="0"/>
    <w:pPr>
      <w:ind w:left="420" w:leftChars="200"/>
    </w:pPr>
  </w:style>
  <w:style w:type="paragraph" w:styleId="6">
    <w:name w:val="Body Text 2"/>
    <w:basedOn w:val="1"/>
    <w:qFormat/>
    <w:uiPriority w:val="0"/>
    <w:pPr>
      <w:spacing w:after="120" w:afterLines="0" w:afterAutospacing="0" w:line="480" w:lineRule="auto"/>
    </w:pPr>
  </w:style>
  <w:style w:type="paragraph" w:styleId="7">
    <w:name w:val="Normal (Web)"/>
    <w:basedOn w:val="1"/>
    <w:semiHidden/>
    <w:unhideWhenUsed/>
    <w:qFormat/>
    <w:uiPriority w:val="99"/>
    <w:pPr>
      <w:spacing w:before="0" w:beforeAutospacing="1" w:after="0" w:afterAutospacing="1"/>
      <w:ind w:left="0" w:right="0" w:firstLine="0" w:firstLineChars="0"/>
      <w:jc w:val="left"/>
    </w:pPr>
    <w:rPr>
      <w:rFonts w:asciiTheme="minorHAnsi" w:hAnsiTheme="minorHAnsi" w:eastAsiaTheme="minorEastAsia"/>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列出段落1"/>
    <w:basedOn w:val="1"/>
    <w:autoRedefine/>
    <w:qFormat/>
    <w:uiPriority w:val="34"/>
    <w:pPr>
      <w:spacing w:before="120" w:after="120"/>
      <w:ind w:firstLine="420" w:firstLineChars="200"/>
    </w:pPr>
    <w:rPr>
      <w:rFonts w:ascii="宋体" w:hAnsi="宋体"/>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1273</Words>
  <Characters>1273</Characters>
  <Lines>0</Lines>
  <Paragraphs>0</Paragraphs>
  <TotalTime>0</TotalTime>
  <ScaleCrop>false</ScaleCrop>
  <LinksUpToDate>false</LinksUpToDate>
  <CharactersWithSpaces>1285</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2024-07-02T07:39:00Z</dcterms:created>
  <dc:creator>Administrator</dc:creator>
  <cp:lastModifiedBy>别扭。</cp:lastModifiedBy>
  <dcterms:modified xsi:type="dcterms:W3CDTF">2025-09-25T02:06:24Z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9984FAB3954C47E38C30CA38C663541B_13</vt:lpwstr>
  </property>
  <property fmtid="{D5CDD505-2E9C-101B-9397-08002B2CF9AE}" pid="4" name="KSOTemplateDocerSaveRecord">
    <vt:lpwstr>eyJoZGlkIjoiNzRlOGZlYWMyNjIyZmI4NWMyZjc1ZTVhNjljMWJhNTQiLCJ1c2VySWQiOiIyMDU1OTgxMjkifQ==</vt:lpwstr>
  </property>
</Properties>
</file>