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C6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湖南省株洲长鸿实验学校教育发展基金会</w:t>
      </w:r>
    </w:p>
    <w:p w14:paraId="34BC4D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会计、出纳岗位管理职责</w:t>
      </w:r>
    </w:p>
    <w:p w14:paraId="48725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本会设会计和出纳各一名，会计和出纳不可由同一人担任。会计和出纳在做好本职工作的前提下，可兼任其他非财务工作，但需遵循不相容职务相分离原则。</w:t>
      </w:r>
      <w:bookmarkStart w:id="0" w:name="_GoBack"/>
      <w:bookmarkEnd w:id="0"/>
    </w:p>
    <w:p w14:paraId="4A0AD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会计岗位：</w:t>
      </w:r>
    </w:p>
    <w:p w14:paraId="0505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（1）根据《民间非营利组织会计制度》的要求，结合单位业务活动的特点设置会计科目及财务核算方式。</w:t>
      </w:r>
    </w:p>
    <w:p w14:paraId="3A494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（2）对以下会计事项进行核算：款项的收付、财物的增减、债权与债务的发生与结算、资本的增减、收入费用的发生以及由上述各种变化引起的财务成果。</w:t>
      </w:r>
    </w:p>
    <w:p w14:paraId="040AD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（3）编制记账凭证、登记总账、明细账，及时编制会计报表，做到：账实相符，账证、账表相符。</w:t>
      </w:r>
    </w:p>
    <w:p w14:paraId="6F525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（4）负责单位税金的计算、申报和解缴工作，协助有关部门开展财务审计和年检。</w:t>
      </w:r>
    </w:p>
    <w:p w14:paraId="6357E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（5）根据资助、捐赠者、单位理事会的要求编制相应的财务报告。</w:t>
      </w:r>
    </w:p>
    <w:p w14:paraId="52665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（6）及时做好会计凭证、账册、报表等财会资料的收集、汇编、归档等会计档案管理工作。</w:t>
      </w:r>
    </w:p>
    <w:p w14:paraId="6E1B8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（7）完成领导交办的其他任务。</w:t>
      </w:r>
    </w:p>
    <w:p w14:paraId="4FC84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出纳岗位：</w:t>
      </w:r>
    </w:p>
    <w:p w14:paraId="15612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（1）负责货币资金的收入、支出及保管工作，确保货币资金的安全完整。</w:t>
      </w:r>
    </w:p>
    <w:p w14:paraId="49A83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（2）负责清算与货币有关的各项收、支及差旅费、项目借款的报销。</w:t>
      </w:r>
    </w:p>
    <w:p w14:paraId="379DE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（3）审核原始凭证和各种报销单的合法性、规范性。</w:t>
      </w:r>
    </w:p>
    <w:p w14:paraId="55EE7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（4）严格按照国家有关现金管理和银行结算制度的规定，根据审核无误的原始凭证进行复核办理款项支付工作。</w:t>
      </w:r>
    </w:p>
    <w:p w14:paraId="0DBBE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（5）及时登记现金及银行存款日记账，做到日清月结。</w:t>
      </w:r>
    </w:p>
    <w:p w14:paraId="4500D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（6）定期与会计核对现金和银行日记账。银行存款保证与银行对账单相符。对现金需进行实地盘点，做到账账相符，账实相符。</w:t>
      </w:r>
    </w:p>
    <w:p w14:paraId="776F1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（7）严格按照规定用途使用，并专设登记簿，依序登记备查。</w:t>
      </w:r>
    </w:p>
    <w:p w14:paraId="31530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（8）协助会计办理年检、涉税等事务。</w:t>
      </w:r>
    </w:p>
    <w:p w14:paraId="220BA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（9）负责管理基金会各项资产，定期清查。</w:t>
      </w:r>
    </w:p>
    <w:p w14:paraId="13361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（10）完成领导交办的其他工作。</w:t>
      </w:r>
    </w:p>
    <w:p w14:paraId="3B5A6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76CAA7-4697-4261-A412-BAFBFD01A3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DED1FE8-B742-483D-8B4A-1FEC650A23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7C13D1-5881-42E7-A8D3-ADCF65EDB8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23C6"/>
    <w:rsid w:val="0BBE23C6"/>
    <w:rsid w:val="2FC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spacing w:before="120" w:after="120"/>
      <w:ind w:firstLine="420" w:firstLineChars="200"/>
    </w:pPr>
    <w:rPr>
      <w:rFonts w:ascii="宋体" w:hAnsi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675</Characters>
  <Lines>0</Lines>
  <Paragraphs>0</Paragraphs>
  <TotalTime>0</TotalTime>
  <ScaleCrop>false</ScaleCrop>
  <LinksUpToDate>false</LinksUpToDate>
  <CharactersWithSpaces>675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2025-08-14T08:25:00Z</dcterms:created>
  <dc:creator>别扭。</dc:creator>
  <cp:lastModifiedBy>别扭。</cp:lastModifiedBy>
  <cp:lastPrinted>2025-08-14T08:25:00Z</cp:lastPrinted>
  <dcterms:modified xsi:type="dcterms:W3CDTF">2025-09-25T02:07:06Z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089946F3835E4BC39E4CEBA757386D01_11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