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D5E03">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eastAsia="zh-CN" w:bidi="ar-SA"/>
        </w:rPr>
      </w:pPr>
      <w:r>
        <w:rPr>
          <w:rFonts w:hint="eastAsia" w:ascii="方正小标宋简体" w:hAnsi="方正小标宋简体" w:eastAsia="方正小标宋简体" w:cs="方正小标宋简体"/>
          <w:b w:val="0"/>
          <w:bCs w:val="0"/>
          <w:snapToGrid/>
          <w:color w:val="auto"/>
          <w:kern w:val="2"/>
          <w:sz w:val="44"/>
          <w:szCs w:val="44"/>
          <w:lang w:eastAsia="zh-CN" w:bidi="ar-SA"/>
        </w:rPr>
        <w:t>湖南省株洲长鸿实验学校教育发展基金会</w:t>
      </w:r>
    </w:p>
    <w:p w14:paraId="3875DBD8">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r>
        <w:rPr>
          <w:rFonts w:hint="eastAsia" w:ascii="方正小标宋简体" w:hAnsi="方正小标宋简体" w:eastAsia="方正小标宋简体" w:cs="方正小标宋简体"/>
          <w:b w:val="0"/>
          <w:bCs w:val="0"/>
          <w:snapToGrid/>
          <w:color w:val="auto"/>
          <w:kern w:val="2"/>
          <w:sz w:val="44"/>
          <w:szCs w:val="44"/>
          <w:lang w:eastAsia="zh-CN" w:bidi="ar-SA"/>
        </w:rPr>
        <w:t>会计核算管理</w:t>
      </w:r>
      <w:r>
        <w:rPr>
          <w:rFonts w:hint="eastAsia" w:ascii="方正小标宋简体" w:hAnsi="方正小标宋简体" w:eastAsia="方正小标宋简体" w:cs="方正小标宋简体"/>
          <w:b w:val="0"/>
          <w:bCs w:val="0"/>
          <w:snapToGrid/>
          <w:color w:val="auto"/>
          <w:kern w:val="2"/>
          <w:sz w:val="44"/>
          <w:szCs w:val="44"/>
          <w:lang w:val="en-US" w:eastAsia="zh-CN" w:bidi="ar-SA"/>
        </w:rPr>
        <w:t>制度</w:t>
      </w:r>
    </w:p>
    <w:p w14:paraId="5B5F8917">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bookmarkStart w:id="0" w:name="_GoBack"/>
      <w:bookmarkEnd w:id="0"/>
    </w:p>
    <w:p w14:paraId="28F2BF8C">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本基金会根据会计电算化管理设置账册。依法进行会计核算，建立健全内部会计监督制度，保证会计资料合法、真实、准确、完整。</w:t>
      </w:r>
    </w:p>
    <w:p w14:paraId="7A0D6376">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会计核算执行《民间非营利组织会计制度》。</w:t>
      </w:r>
    </w:p>
    <w:p w14:paraId="2045DBAB">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会计核算以权责发生制为基础。会计记账采用借贷记账法。</w:t>
      </w:r>
    </w:p>
    <w:p w14:paraId="2E45071F">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会计核算以本基金会的交易或者事项为对象，使用中文记录和反映基金会本身的各项业务活动。</w:t>
      </w:r>
    </w:p>
    <w:p w14:paraId="7802FE5F">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会计年度自公历1月1日起至12月31日止。</w:t>
      </w:r>
    </w:p>
    <w:p w14:paraId="4B8A0937">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本基金会记账本位币为人民币。发生涉及接受外币捐赠业务时，以实际结汇汇率折合为记账本位币金额入账。</w:t>
      </w:r>
    </w:p>
    <w:p w14:paraId="2E1E99BD">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本基金会在会计核算时，应当遵循以下基本原则：</w:t>
      </w:r>
    </w:p>
    <w:p w14:paraId="6BF95818">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（一）会计核算应当以实际发生的交易或者事项为依据，如实反映本基金会的财务状况、业务活动情况和货币流量等信息。</w:t>
      </w:r>
    </w:p>
    <w:p w14:paraId="4690D7DA">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（二）会计核算所提供的信息应当能够满足会计信息使用人（如捐赠人、理事会、监事会）的需要。</w:t>
      </w:r>
    </w:p>
    <w:p w14:paraId="5E200815">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（三）会计核算应当按照交易或者事项的实质进行，而不应当仅仅按照它们的法律形式作为其依据。</w:t>
      </w:r>
    </w:p>
    <w:p w14:paraId="46266023">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（四）会计政策前后各期应当保持一致，不得随意变更。如有必要变更，应当在会计报表附注中披露变更的内容和理由、变更的累积影响数，以及累积影响数不能合理确定的理由等。</w:t>
      </w:r>
    </w:p>
    <w:p w14:paraId="3003F3A2">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（五）会计核算应当按照规定的会计处理方法进行，会计信息应当口径一致、相互可比。</w:t>
      </w:r>
    </w:p>
    <w:p w14:paraId="62C02977">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（六）会计核算应当及时进行，不得提前或延后。</w:t>
      </w:r>
    </w:p>
    <w:p w14:paraId="10CED134">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（七）会计核算和编制的财务会计报告应当清晰明了，便于理解和使用。</w:t>
      </w:r>
    </w:p>
    <w:p w14:paraId="56491908">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（八）在会计核算中，所发生的费用应当与其相关的收入相配比，同一会计期间内的各项收入和与其相关的费用，应当在该会计期间内确认。</w:t>
      </w:r>
    </w:p>
    <w:p w14:paraId="305F2026">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九）资产在取得时应当按照实际成本计量，但本制度有特别规定的，按照特别规定的计量基础进行计量。其后，资产账面价值的调整，应当按照本制度的规定执行。除法律、行政法规和国家统一的会计制度另有规定的外，基金会不得自行调整资产账面价值。</w:t>
      </w:r>
    </w:p>
    <w:p w14:paraId="774C9DCC">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（十）会计核算应当遵循谨慎性原则。</w:t>
      </w:r>
    </w:p>
    <w:p w14:paraId="0124CB83">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（十一）会计核算应当合理划分应当计入当期费用的支出和应当予以资本化的支出。</w:t>
      </w:r>
    </w:p>
    <w:p w14:paraId="46BA5F11">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十二）会计核算应当遵循重要性原则的要求，对资产、负债、净资产、收入、费用等有较大影响，并进而影响财务会计报告使用人据以作出合理判断的重要会计事项，必须按照规定的会计方法和程序进行处理，并在财务会计报告中予以充分披露；对于非重要的会计事项，在不影响会计信息真实性和不至于误导会计信息使用人作出正确判断的前提下，可适当简化处理。</w:t>
      </w:r>
    </w:p>
    <w:p w14:paraId="0783585D">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原始凭证是一切经济业务发生或完成时取得的，是进行会计核算的重要资料。每一项经济业务发生都必须取得原始凭证。对原始凭证的基本要求是：真实可靠、取得及时、内容完整清楚、具有合法性与完整性。会计人员必须认真审核原始凭证的真实性、合法性、完整性和正确性。</w:t>
      </w:r>
    </w:p>
    <w:p w14:paraId="2F834756">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记账凭证是登记账簿的基础，为保证会计账簿能够真实地反映经济业务活动的实质，确保会计资料真实完整，记账凭证必须统一格式，以原始凭证为依据。填制凭证必须符合会计制度要求，要连续编号，记录明确，签章齐全，会计科目运用准确，摘要简明，附件数量完整，文字清晰，对应关系清楚，数字内容与原始凭证一致。</w:t>
      </w:r>
    </w:p>
    <w:p w14:paraId="1E638328">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如果在填制记账凭证时发生错误，应当重新填制。</w:t>
      </w:r>
    </w:p>
    <w:p w14:paraId="2F0978E2">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账簿记录发生错误，不准涂改、挖补、刮擦或者用药水消除字迹，不准重新抄写，必须按照下列方法进行更正：</w:t>
      </w:r>
    </w:p>
    <w:p w14:paraId="31841DA7">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一）登记账簿时发生错误，应当将错误的文字或者数字画红线注销，但必须使原有字迹仍可辨认；然后在划线上方填写正确的文字或者数字，并由记账人员在更正处盖章。对于错误的数字，应当全部画红线更正，不得只更正其中的错误数字。对于文字错误，可只划去错误的部分。</w:t>
      </w:r>
    </w:p>
    <w:p w14:paraId="0D6A9D60">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（二）由于记账凭证错误而使账簿记录发生错误，应当按更正的记账凭证登记账簿。</w:t>
      </w:r>
    </w:p>
    <w:p w14:paraId="052015D8">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定期对会计账簿记录的有关数字与库存实物、货币资金、有价证券、往来单位或者个人等进行相互核对，保证账证相符、账账相符、名实相符。对账工作每年至少进行一次。</w:t>
      </w:r>
    </w:p>
    <w:p w14:paraId="3F8BDAB4">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（一）账证核对。核对会计账簿记录与原始凭证、记账凭证的时间、凭证字号、内容、金额是否一致，记账方向是否相符。</w:t>
      </w:r>
    </w:p>
    <w:p w14:paraId="33FA7313">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二）账账核对。核对不同会计账簿之间的账簿记录是否相符，包括：总账有关账户的余额核对，总账与明细账核对，总账与日记账核对，会计部门的财产物资明细账与财产物资保管和使用部门的有关明细账核对等。</w:t>
      </w:r>
    </w:p>
    <w:p w14:paraId="46FCB6F6">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bidi="ar-SA"/>
        </w:rPr>
        <w:t>（三）账实核对。核对会计账簿记录与财产等实有数额是否相符。包括：现金日记账账面余额与现金实际库存数相核对；银行存款日记账账面余额定期与银行对账单相核对；各种财物明细账账面余额与财物实存数额相核对；各种应收、应付款明细账账面余额与有关债务、债权单位或者个人核对等。</w:t>
      </w:r>
    </w:p>
    <w:p w14:paraId="25C027ED">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按照规定定期结账：</w:t>
      </w:r>
    </w:p>
    <w:p w14:paraId="0EBC5C2C">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（一）结账前，必须将本期内所发生的各项经济业务全部登记入账。</w:t>
      </w:r>
    </w:p>
    <w:p w14:paraId="4256E6B2">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二）结账时，应当结出每个账户的期末余额。需要结出当月发生额的，应当在摘要栏内注明“本月合计”字样，并在下面通栏划单红线。需要结出本年累计发生额的，应当在摘要栏内注明“本年累计”字样，并在下面通栏划单红线；12月末的“本年累计”就是全年累计发生额。全年累计发生额下面应当通栏划双红线。年度终了结账时，所有总账账户都应当结出全年发生额和年末余额。</w:t>
      </w:r>
    </w:p>
    <w:p w14:paraId="019D5754">
      <w:pPr>
        <w:keepNext w:val="0"/>
        <w:keepLines w:val="0"/>
        <w:pageBreakBefore w:val="0"/>
        <w:widowControl w:val="0"/>
        <w:suppressLineNumbers w:val="0"/>
        <w:kinsoku/>
        <w:wordWrap/>
        <w:overflowPunct/>
        <w:topLinePunct w:val="0"/>
        <w:autoSpaceDE/>
        <w:autoSpaceDN/>
        <w:bidi w:val="0"/>
        <w:spacing w:line="62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bidi="ar-SA"/>
        </w:rPr>
      </w:pPr>
      <w:r>
        <w:rPr>
          <w:rFonts w:hint="eastAsia" w:ascii="方正仿宋_GB2312" w:hAnsi="方正仿宋_GB2312" w:eastAsia="方正仿宋_GB2312" w:cs="方正仿宋_GB2312"/>
          <w:color w:val="auto"/>
          <w:kern w:val="0"/>
          <w:sz w:val="32"/>
          <w:szCs w:val="32"/>
          <w:highlight w:val="none"/>
          <w:lang w:val="en-US" w:eastAsia="zh-CN" w:bidi="ar-SA"/>
        </w:rPr>
        <w:t>（三）年度终了，要把各账户的余额结转到下一会计年度，并在摘要栏注明“结转下年”字样；在下一会计年度新建有关会计账簿的第一行余额栏内填写上年结转的余额，并在摘要栏注明“上年结转”字样。</w:t>
      </w:r>
    </w:p>
    <w:p w14:paraId="653B67BA">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本基金会根据《民间非营利组织会计制度》的要求设置会计科目，并结合实际情况，增加相关的二级、三级等多级会计明细科目及辅助项目核算。</w:t>
      </w:r>
    </w:p>
    <w:p w14:paraId="465DE42C">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年末应打印并电子存档各类总账、明细账、报表、现金日记账、银行存款日记账和必要的备查账。</w:t>
      </w:r>
    </w:p>
    <w:p w14:paraId="78F4170A">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会计报表是反映一定时期财务状况和业务活动成果的书面文件。编制会计报表要做到数据真实准确、内容完整、编报及时。每年年初根据主管部门要求报送上年度财务报表并编制财务报告报理事会。</w:t>
      </w:r>
    </w:p>
    <w:p w14:paraId="352E4204">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本基金会填制会计凭证、登记会计账簿、管理会计档案等要求，按照《中华人民共和国会计法》《民间非营利组织会计制度》《会计基础工作规范》和《会计档案管理办法》等的规定执行。</w:t>
      </w:r>
    </w:p>
    <w:p w14:paraId="64BA1472">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本制度的解释权归湖南省株洲长鸿实验学校教育发展基金会。</w:t>
      </w:r>
    </w:p>
    <w:p w14:paraId="7170380D">
      <w:pPr>
        <w:pStyle w:val="7"/>
        <w:keepNext w:val="0"/>
        <w:keepLines w:val="0"/>
        <w:pageBreakBefore w:val="0"/>
        <w:widowControl w:val="0"/>
        <w:numPr>
          <w:ilvl w:val="0"/>
          <w:numId w:val="1"/>
        </w:numPr>
        <w:shd w:val="clear"/>
        <w:tabs>
          <w:tab w:val="left" w:pos="900"/>
        </w:tabs>
        <w:kinsoku/>
        <w:wordWrap/>
        <w:overflowPunct/>
        <w:topLinePunct w:val="0"/>
        <w:autoSpaceDE/>
        <w:autoSpaceDN/>
        <w:bidi w:val="0"/>
        <w:snapToGrid w:val="0"/>
        <w:spacing w:before="0" w:beforeAutospacing="0" w:after="0" w:afterAutospacing="0" w:line="620" w:lineRule="exact"/>
        <w:ind w:left="0" w:leftChars="0" w:firstLine="640" w:firstLineChars="200"/>
        <w:jc w:val="both"/>
        <w:textAlignment w:val="auto"/>
        <w:rPr>
          <w:rFonts w:hint="eastAsia" w:ascii="仿宋" w:hAnsi="仿宋" w:eastAsia="仿宋" w:cs="仿宋"/>
          <w:color w:val="auto"/>
          <w:sz w:val="28"/>
          <w:szCs w:val="28"/>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本制度经基金会理事会通过后执行。</w:t>
      </w:r>
    </w:p>
    <w:p w14:paraId="19D8C038">
      <w:pPr>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3923DB8-9E0F-4084-9DFB-F877FA572B11}"/>
  </w:font>
  <w:font w:name="方正小标宋简体">
    <w:panose1 w:val="02000000000000000000"/>
    <w:charset w:val="86"/>
    <w:family w:val="auto"/>
    <w:pitch w:val="default"/>
    <w:sig w:usb0="00000001" w:usb1="08000000" w:usb2="00000000" w:usb3="00000000" w:csb0="00040000" w:csb1="00000000"/>
    <w:embedRegular r:id="rId2" w:fontKey="{5176ACEF-B0A6-468B-9C71-50D32E190BBA}"/>
  </w:font>
  <w:font w:name="方正仿宋_GB2312">
    <w:panose1 w:val="02000000000000000000"/>
    <w:charset w:val="86"/>
    <w:family w:val="auto"/>
    <w:pitch w:val="default"/>
    <w:sig w:usb0="A00002BF" w:usb1="184F6CFA" w:usb2="00000012" w:usb3="00000000" w:csb0="00040001" w:csb1="00000000"/>
    <w:embedRegular r:id="rId3" w:fontKey="{C811784B-7F9F-4CFC-8565-F047BB52FCBC}"/>
  </w:font>
  <w:font w:name="仿宋">
    <w:panose1 w:val="02010609060101010101"/>
    <w:charset w:val="86"/>
    <w:family w:val="auto"/>
    <w:pitch w:val="default"/>
    <w:sig w:usb0="800002BF" w:usb1="38CF7CFA" w:usb2="00000016" w:usb3="00000000" w:csb0="00040001" w:csb1="00000000"/>
    <w:embedRegular r:id="rId4" w:fontKey="{9EEA183E-617C-46E0-B856-04717A8167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32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DB5D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DB5D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81932"/>
    <w:multiLevelType w:val="multilevel"/>
    <w:tmpl w:val="17281932"/>
    <w:lvl w:ilvl="0" w:tentative="0">
      <w:start w:val="1"/>
      <w:numFmt w:val="japaneseCounting"/>
      <w:lvlText w:val="第%1条"/>
      <w:lvlJc w:val="left"/>
      <w:pPr>
        <w:ind w:left="720" w:hanging="7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OGZlYWMyNjIyZmI4NWMyZjc1ZTVhNjljMWJhNTQifQ=="/>
  </w:docVars>
  <w:rsids>
    <w:rsidRoot w:val="00000000"/>
    <w:rsid w:val="02D16896"/>
    <w:rsid w:val="050F0C8F"/>
    <w:rsid w:val="07303057"/>
    <w:rsid w:val="12F72CEE"/>
    <w:rsid w:val="13B65FFA"/>
    <w:rsid w:val="1BC74F7A"/>
    <w:rsid w:val="20FF7618"/>
    <w:rsid w:val="298570E5"/>
    <w:rsid w:val="394127EA"/>
    <w:rsid w:val="51D16900"/>
    <w:rsid w:val="59EB38A7"/>
    <w:rsid w:val="7F6B7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paragraph" w:styleId="6">
    <w:name w:val="Body Text 2"/>
    <w:basedOn w:val="1"/>
    <w:qFormat/>
    <w:uiPriority w:val="0"/>
    <w:pPr>
      <w:spacing w:after="120" w:afterLines="0" w:afterAutospacing="0" w:line="480" w:lineRule="auto"/>
    </w:pPr>
  </w:style>
  <w:style w:type="paragraph" w:styleId="7">
    <w:name w:val="Normal (Web)"/>
    <w:basedOn w:val="1"/>
    <w:semiHidden/>
    <w:unhideWhenUsed/>
    <w:qFormat/>
    <w:uiPriority w:val="99"/>
    <w:pPr>
      <w:spacing w:before="0" w:beforeAutospacing="1" w:after="0" w:afterAutospacing="1"/>
      <w:ind w:left="0" w:right="0" w:firstLine="0" w:firstLineChars="0"/>
      <w:jc w:val="left"/>
    </w:pPr>
    <w:rPr>
      <w:rFonts w:asciiTheme="minorHAnsi" w:hAnsiTheme="minorHAnsi" w:eastAsiaTheme="minorEastAsia"/>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autoRedefine/>
    <w:qFormat/>
    <w:uiPriority w:val="34"/>
    <w:pPr>
      <w:spacing w:before="120" w:after="120"/>
      <w:ind w:firstLine="420" w:firstLineChars="200"/>
    </w:pPr>
    <w:rPr>
      <w:rFonts w:ascii="宋体" w:hAnsi="宋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2431</Words>
  <Characters>2434</Characters>
  <Lines>0</Lines>
  <Paragraphs>0</Paragraphs>
  <TotalTime>0</TotalTime>
  <ScaleCrop>false</ScaleCrop>
  <LinksUpToDate>false</LinksUpToDate>
  <CharactersWithSpaces>2434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2024-07-02T07:39:00Z</dcterms:created>
  <dc:creator>Administrator</dc:creator>
  <cp:lastModifiedBy>别扭。</cp:lastModifiedBy>
  <dcterms:modified xsi:type="dcterms:W3CDTF">2025-09-25T02:07:52Z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181FD02FDA8442838BBE72AC199FD6E1_13</vt:lpwstr>
  </property>
  <property fmtid="{D5CDD505-2E9C-101B-9397-08002B2CF9AE}" pid="4" name="KSOTemplateDocerSaveRecord">
    <vt:lpwstr>eyJoZGlkIjoiNzRlOGZlYWMyNjIyZmI4NWMyZjc1ZTVhNjljMWJhNTQiLCJ1c2VySWQiOiIyMDU1OTgxMjkifQ==</vt:lpwstr>
  </property>
</Properties>
</file>