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8B58">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w:t>
      </w:r>
    </w:p>
    <w:p w14:paraId="38BB5C29">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val="en-US" w:eastAsia="zh-CN" w:bidi="ar-SA"/>
        </w:rPr>
        <w:t>货币资金管理制度</w:t>
      </w:r>
    </w:p>
    <w:p w14:paraId="626DDDA6">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p>
    <w:p w14:paraId="07C4F53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第一条 </w:t>
      </w:r>
      <w:r>
        <w:rPr>
          <w:rFonts w:hint="eastAsia" w:ascii="方正仿宋_GB2312" w:hAnsi="方正仿宋_GB2312" w:eastAsia="方正仿宋_GB2312" w:cs="方正仿宋_GB2312"/>
          <w:sz w:val="32"/>
          <w:szCs w:val="32"/>
          <w:lang w:val="en-US" w:eastAsia="zh-CN"/>
        </w:rPr>
        <w:t>为确保资金安全完整，提高资金运营效率。为促进资金规范操作，本单位货币资金应根据《现金管理暂行条例》《银行账户管理办法》《支付结算办法》等规定和条例的相关规定进行管理。</w:t>
      </w:r>
    </w:p>
    <w:p w14:paraId="3F1F80C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第二条 </w:t>
      </w:r>
      <w:r>
        <w:rPr>
          <w:rFonts w:hint="eastAsia" w:ascii="方正仿宋_GB2312" w:hAnsi="方正仿宋_GB2312" w:eastAsia="方正仿宋_GB2312" w:cs="方正仿宋_GB2312"/>
          <w:sz w:val="32"/>
          <w:szCs w:val="32"/>
          <w:lang w:val="en-US" w:eastAsia="zh-CN"/>
        </w:rPr>
        <w:t>货币资金是指单位所拥有的现金、银行存款、其他货币资金（含外币存款、银行汇票存款、银行本票存款，信用卡存款、存出投资款等）。</w:t>
      </w:r>
    </w:p>
    <w:p w14:paraId="07A0C8B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第三条 </w:t>
      </w:r>
      <w:r>
        <w:rPr>
          <w:rFonts w:hint="eastAsia" w:ascii="方正仿宋_GB2312" w:hAnsi="方正仿宋_GB2312" w:eastAsia="方正仿宋_GB2312" w:cs="方正仿宋_GB2312"/>
          <w:sz w:val="32"/>
          <w:szCs w:val="32"/>
          <w:lang w:val="en-US" w:eastAsia="zh-CN"/>
        </w:rPr>
        <w:t>单位的出纳为货币资金的直接责任人员。除由出纳授权的其他人员代收的款项外，所有货币资金的收取和支付只能由出纳进行，禁止其他工作人员直接接触单位现金和现金支票。</w:t>
      </w:r>
    </w:p>
    <w:p w14:paraId="3C4CC31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第四条 </w:t>
      </w:r>
      <w:r>
        <w:rPr>
          <w:rFonts w:hint="eastAsia" w:ascii="方正仿宋_GB2312" w:hAnsi="方正仿宋_GB2312" w:eastAsia="方正仿宋_GB2312" w:cs="方正仿宋_GB2312"/>
          <w:sz w:val="32"/>
          <w:szCs w:val="32"/>
          <w:lang w:val="en-US" w:eastAsia="zh-CN"/>
        </w:rPr>
        <w:t>出纳人员不得兼任稽核、会计档案保管和收入、支出、费用、债权债务账目的登记工作。</w:t>
      </w:r>
    </w:p>
    <w:p w14:paraId="2AC6E8B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第五条 </w:t>
      </w:r>
      <w:r>
        <w:rPr>
          <w:rFonts w:hint="eastAsia" w:ascii="方正仿宋_GB2312" w:hAnsi="方正仿宋_GB2312" w:eastAsia="方正仿宋_GB2312" w:cs="方正仿宋_GB2312"/>
          <w:sz w:val="32"/>
          <w:szCs w:val="32"/>
          <w:lang w:val="en-US" w:eastAsia="zh-CN"/>
        </w:rPr>
        <w:t>严格履行货币资金授权审批制度。凡涉及货币资金的业务，各相应经办和管理、决策人员应严格按照审批权限进行审批和办理；对于特殊事项和场外应急事项须临时收付现金的，须按审批程序中规定的人员口头同意后先予办理，事后及时补办手续。禁止未经授权操作货币资金，禁止超越审批权限批复资金。</w:t>
      </w:r>
    </w:p>
    <w:p w14:paraId="3A1190C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第六条 </w:t>
      </w:r>
      <w:r>
        <w:rPr>
          <w:rFonts w:hint="eastAsia" w:ascii="方正仿宋_GB2312" w:hAnsi="方正仿宋_GB2312" w:eastAsia="方正仿宋_GB2312" w:cs="方正仿宋_GB2312"/>
          <w:sz w:val="32"/>
          <w:szCs w:val="32"/>
          <w:lang w:val="en-US" w:eastAsia="zh-CN"/>
        </w:rPr>
        <w:t>具体的支出审批流程详见《湖南省株洲长鸿实验学校教育发展基金会财务管理制度》“第七章支出管理”、“第八章财务报销及审批制度”的相关内容。</w:t>
      </w:r>
    </w:p>
    <w:p w14:paraId="29743C9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第七条 </w:t>
      </w:r>
      <w:r>
        <w:rPr>
          <w:rFonts w:hint="eastAsia" w:ascii="方正仿宋_GB2312" w:hAnsi="方正仿宋_GB2312" w:eastAsia="方正仿宋_GB2312" w:cs="方正仿宋_GB2312"/>
          <w:sz w:val="32"/>
          <w:szCs w:val="32"/>
          <w:lang w:val="en-US" w:eastAsia="zh-CN"/>
        </w:rPr>
        <w:t>办理支付：出纳人员应根据复核无误的支付申请办理货币资金支付，同时登记好出纳流水账。</w:t>
      </w:r>
    </w:p>
    <w:p w14:paraId="4C8E312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第八条 </w:t>
      </w:r>
      <w:r>
        <w:rPr>
          <w:rFonts w:hint="eastAsia" w:ascii="方正仿宋_GB2312" w:hAnsi="方正仿宋_GB2312" w:eastAsia="方正仿宋_GB2312" w:cs="方正仿宋_GB2312"/>
          <w:sz w:val="32"/>
          <w:szCs w:val="32"/>
          <w:lang w:val="en-US" w:eastAsia="zh-CN"/>
        </w:rPr>
        <w:t>本单位应在国家财政规定的现金开支范围支出现金，不得坐支，禁止不合法的白条抵账。</w:t>
      </w:r>
    </w:p>
    <w:p w14:paraId="5850C09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第九条 </w:t>
      </w:r>
      <w:r>
        <w:rPr>
          <w:rFonts w:hint="eastAsia" w:ascii="方正仿宋_GB2312" w:hAnsi="方正仿宋_GB2312" w:eastAsia="方正仿宋_GB2312" w:cs="方正仿宋_GB2312"/>
          <w:sz w:val="32"/>
          <w:szCs w:val="32"/>
          <w:lang w:val="en-US" w:eastAsia="zh-CN"/>
        </w:rPr>
        <w:t>现金收支的日常管理：</w:t>
      </w:r>
    </w:p>
    <w:p w14:paraId="549BE2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（一）非本单位职工或基金会与项目执行单位约定的经办专员一律不得借用现金。</w:t>
      </w:r>
    </w:p>
    <w:p w14:paraId="25A27B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（二）因私借款不予办理。不准私自挪用公款和借支私用。</w:t>
      </w:r>
    </w:p>
    <w:p w14:paraId="512E66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（三）基金会取得的货币资金收入必须及时入账，不得随处设账，严禁收款不入账。实行收支两条线和集中收付制度，加强对货币资金的集中统一管理。</w:t>
      </w:r>
    </w:p>
    <w:p w14:paraId="5EA123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对于现金的收入，出纳人员必须当面点清款项并验明货币的真假，当面没有履行点验手续而事后发现短缺或假币的，由出纳负责；对于现金的支出，收款人必须当面点清款项并验明货币的真假，否则，除非有确切的证据证明短款或假币，财务部门及出纳人员对此不负责任。</w:t>
      </w:r>
    </w:p>
    <w:p w14:paraId="3992C3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（五）出纳收取现金时必须开具收款凭证，严禁收款不开发票或收据。当日取得的现金收入，应送存银行并及时登记出纳账。</w:t>
      </w:r>
    </w:p>
    <w:p w14:paraId="413BA5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（六）出纳人员从银行提取现金时，应当在支票存根上注明用途和金额等，经财务负责人批准后方可提取。</w:t>
      </w:r>
    </w:p>
    <w:p w14:paraId="428C42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（七）出纳应定期、不定期地对现金进行盘点，并编制现金盘点表。会计应对现金盘点进行监盘和不定期的抽盘，确保现金账面余额与实际库存相符。如发现不符，应及时查明原因并作出处理。</w:t>
      </w:r>
    </w:p>
    <w:p w14:paraId="2893203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第十条 </w:t>
      </w:r>
      <w:r>
        <w:rPr>
          <w:rFonts w:hint="eastAsia" w:ascii="方正仿宋_GB2312" w:hAnsi="方正仿宋_GB2312" w:eastAsia="方正仿宋_GB2312" w:cs="方正仿宋_GB2312"/>
          <w:sz w:val="32"/>
          <w:szCs w:val="32"/>
          <w:lang w:val="en-US" w:eastAsia="zh-CN"/>
        </w:rPr>
        <w:t>基金会与其他有关单位和个人发生的各种结算业务，除按《现金管理暂行条例》可以使用现金以外，一律要通过银行办理转账结算，不得直接支付现金和开具现金支票。各项费用支出均应尽量采取银行结算方式，减少使用现金，以增强财务行为的可复核性。</w:t>
      </w:r>
    </w:p>
    <w:p w14:paraId="353B2ED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第十一条 </w:t>
      </w:r>
      <w:r>
        <w:rPr>
          <w:rFonts w:hint="eastAsia" w:ascii="方正仿宋_GB2312" w:hAnsi="方正仿宋_GB2312" w:eastAsia="方正仿宋_GB2312" w:cs="方正仿宋_GB2312"/>
          <w:sz w:val="32"/>
          <w:szCs w:val="32"/>
          <w:lang w:val="en-US" w:eastAsia="zh-CN"/>
        </w:rPr>
        <w:t>可用现金支付的业务主要包括：工资、奖金、补贴、福利、个人劳务报酬、差旅费、结算起点（1000 元）以下的零星支出、特殊情况下无法通过银行结算的支付，以及人民银行确定需要现金支付的其他支出。</w:t>
      </w:r>
    </w:p>
    <w:p w14:paraId="55216E5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第十二条 </w:t>
      </w:r>
      <w:r>
        <w:rPr>
          <w:rFonts w:hint="eastAsia" w:ascii="方正仿宋_GB2312" w:hAnsi="方正仿宋_GB2312" w:eastAsia="方正仿宋_GB2312" w:cs="方正仿宋_GB2312"/>
          <w:sz w:val="32"/>
          <w:szCs w:val="32"/>
          <w:lang w:val="en-US" w:eastAsia="zh-CN"/>
        </w:rPr>
        <w:t>库存现金余额不超过 1000 元。超额部分应于当日存入银行账户。</w:t>
      </w:r>
    </w:p>
    <w:p w14:paraId="77EB13D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第十三条 </w:t>
      </w:r>
      <w:r>
        <w:rPr>
          <w:rFonts w:hint="eastAsia" w:ascii="方正仿宋_GB2312" w:hAnsi="方正仿宋_GB2312" w:eastAsia="方正仿宋_GB2312" w:cs="方正仿宋_GB2312"/>
          <w:sz w:val="32"/>
          <w:szCs w:val="32"/>
          <w:lang w:val="en-US" w:eastAsia="zh-CN"/>
        </w:rPr>
        <w:t>基金会应当严格按照中国人民银行发布的银发【1997】393 号《支付结算办法》中的规定使用银行账户。银行账户只能用于本单位业务范围内的资金收付，不得出借账户，不能从事与本单位业务无关的经济活动。任何人不得利用银行账户办理基金会以外的收支结算，因私借用支票不予办理。</w:t>
      </w:r>
    </w:p>
    <w:p w14:paraId="7C4B81D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第十四条 </w:t>
      </w:r>
      <w:r>
        <w:rPr>
          <w:rFonts w:hint="eastAsia" w:ascii="方正仿宋_GB2312" w:hAnsi="方正仿宋_GB2312" w:eastAsia="方正仿宋_GB2312" w:cs="方正仿宋_GB2312"/>
          <w:sz w:val="32"/>
          <w:szCs w:val="32"/>
          <w:lang w:val="en-US" w:eastAsia="zh-CN"/>
        </w:rPr>
        <w:t>银行账户预留印鉴，网银支付 U 盾和授权U盾应分开保管，做到相互牵制。网银支付 U 盾由出纳保管，密码由会计保管。即任何金额的转账均需要由会计审核、法定代表人授权审批才可转出。</w:t>
      </w:r>
    </w:p>
    <w:p w14:paraId="56B7EF1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第十五条 </w:t>
      </w:r>
      <w:r>
        <w:rPr>
          <w:rFonts w:hint="eastAsia" w:ascii="方正仿宋_GB2312" w:hAnsi="方正仿宋_GB2312" w:eastAsia="方正仿宋_GB2312" w:cs="方正仿宋_GB2312"/>
          <w:sz w:val="32"/>
          <w:szCs w:val="32"/>
          <w:lang w:val="en-US" w:eastAsia="zh-CN"/>
        </w:rPr>
        <w:t>严格支票管理，财务人员不得签发无日期、无抬头、无用途、无限定金额的空白支票，不得签发空头支票和远期支票。领购支票后及时对支票进行连号登记，根据基金会的业务需要进行签发，经办人签字确认。不得签发、取得、转让没有真实交易和债权债务的票据。出纳定期与银行核对银行存款余额，并编制银行余额调节表，会计需对银行余额调节表进行审核，对未达账项应及时处理。必须按照国家的规定购汇、结汇。</w:t>
      </w:r>
    </w:p>
    <w:p w14:paraId="3DCCF86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第十六条 </w:t>
      </w:r>
      <w:r>
        <w:rPr>
          <w:rFonts w:hint="eastAsia" w:ascii="方正仿宋_GB2312" w:hAnsi="方正仿宋_GB2312" w:eastAsia="方正仿宋_GB2312" w:cs="方正仿宋_GB2312"/>
          <w:sz w:val="32"/>
          <w:szCs w:val="32"/>
          <w:lang w:val="en-US" w:eastAsia="zh-CN"/>
        </w:rPr>
        <w:t>任何人不得违反银行结算法律法规和制度。不得贪污挪公款。否则，一经查出，将严肃处理，触犯刑律的，一律依法追究当事人的刑事责任。</w:t>
      </w:r>
    </w:p>
    <w:p w14:paraId="4D9A0E3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第十七条 </w:t>
      </w:r>
      <w:r>
        <w:rPr>
          <w:rFonts w:hint="eastAsia" w:ascii="方正仿宋_GB2312" w:hAnsi="方正仿宋_GB2312" w:eastAsia="方正仿宋_GB2312" w:cs="方正仿宋_GB2312"/>
          <w:sz w:val="32"/>
          <w:szCs w:val="32"/>
          <w:lang w:val="en-US" w:eastAsia="zh-CN"/>
        </w:rPr>
        <w:t>本制度未尽事宜，按国家有关法律法规和基金会章程的规定执行。</w:t>
      </w:r>
    </w:p>
    <w:p w14:paraId="05C4BA4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第十八条 </w:t>
      </w:r>
      <w:r>
        <w:rPr>
          <w:rFonts w:hint="eastAsia" w:ascii="方正仿宋_GB2312" w:hAnsi="方正仿宋_GB2312" w:eastAsia="方正仿宋_GB2312" w:cs="方正仿宋_GB2312"/>
          <w:sz w:val="32"/>
          <w:szCs w:val="32"/>
          <w:lang w:val="en-US" w:eastAsia="zh-CN"/>
        </w:rPr>
        <w:t>本制度的解释权归湖南省株洲长鸿实验学校教育发展基金会。</w:t>
      </w:r>
    </w:p>
    <w:p w14:paraId="1F33E8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第十九条 </w:t>
      </w:r>
      <w:r>
        <w:rPr>
          <w:rFonts w:hint="eastAsia" w:ascii="方正仿宋_GB2312" w:hAnsi="方正仿宋_GB2312" w:eastAsia="方正仿宋_GB2312" w:cs="方正仿宋_GB2312"/>
          <w:sz w:val="32"/>
          <w:szCs w:val="32"/>
          <w:lang w:val="en-US" w:eastAsia="zh-CN"/>
        </w:rPr>
        <w:t>本制度经基金会理事会通过后执行。</w:t>
      </w:r>
    </w:p>
    <w:p w14:paraId="0A6B37D3">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29B5562-3DA5-49B7-9E40-8E6EFC4D00C8}"/>
  </w:font>
  <w:font w:name="方正小标宋简体">
    <w:panose1 w:val="02000000000000000000"/>
    <w:charset w:val="86"/>
    <w:family w:val="auto"/>
    <w:pitch w:val="default"/>
    <w:sig w:usb0="00000001" w:usb1="08000000" w:usb2="00000000" w:usb3="00000000" w:csb0="00040000" w:csb1="00000000"/>
    <w:embedRegular r:id="rId2" w:fontKey="{1655BCA1-A8D5-4C46-BCA8-C7381A19EFAC}"/>
  </w:font>
  <w:font w:name="方正仿宋_GB2312">
    <w:panose1 w:val="02000000000000000000"/>
    <w:charset w:val="86"/>
    <w:family w:val="auto"/>
    <w:pitch w:val="default"/>
    <w:sig w:usb0="A00002BF" w:usb1="184F6CFA" w:usb2="00000012" w:usb3="00000000" w:csb0="00040001" w:csb1="00000000"/>
    <w:embedRegular r:id="rId3" w:fontKey="{64F90AD1-C44C-4E0C-9864-4C2D27F5F3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7303057"/>
    <w:rsid w:val="129E3ED1"/>
    <w:rsid w:val="15D12640"/>
    <w:rsid w:val="1E334247"/>
    <w:rsid w:val="20FF7618"/>
    <w:rsid w:val="237D1058"/>
    <w:rsid w:val="298570E5"/>
    <w:rsid w:val="394127EA"/>
    <w:rsid w:val="48BB4465"/>
    <w:rsid w:val="51D16900"/>
    <w:rsid w:val="5AA81B65"/>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1823</Words>
  <Characters>1834</Characters>
  <Lines>0</Lines>
  <Paragraphs>0</Paragraphs>
  <TotalTime>0</TotalTime>
  <ScaleCrop>false</ScaleCrop>
  <LinksUpToDate>false</LinksUpToDate>
  <CharactersWithSpaces>1861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7852B83880844AE4A0EED717BDF54F61_13</vt:lpwstr>
  </property>
  <property fmtid="{D5CDD505-2E9C-101B-9397-08002B2CF9AE}" pid="4" name="KSOTemplateDocerSaveRecord">
    <vt:lpwstr>eyJoZGlkIjoiNzRlOGZlYWMyNjIyZmI4NWMyZjc1ZTVhNjljMWJhNTQiLCJ1c2VySWQiOiIyMDU1OTgxMjkifQ==</vt:lpwstr>
  </property>
</Properties>
</file>