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480C9">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bookmarkStart w:id="30" w:name="_GoBack"/>
      <w:r>
        <w:rPr>
          <w:rFonts w:hint="eastAsia" w:ascii="方正小标宋简体" w:hAnsi="方正小标宋简体" w:eastAsia="方正小标宋简体" w:cs="方正小标宋简体"/>
          <w:b w:val="0"/>
          <w:bCs w:val="0"/>
          <w:snapToGrid/>
          <w:color w:val="auto"/>
          <w:kern w:val="2"/>
          <w:sz w:val="44"/>
          <w:szCs w:val="44"/>
          <w:lang w:val="en-US" w:eastAsia="zh-CN" w:bidi="ar-SA"/>
        </w:rPr>
        <w:t>湖南省株洲长鸿实验学校教育发展基金会</w:t>
      </w:r>
    </w:p>
    <w:bookmarkEnd w:id="30"/>
    <w:p w14:paraId="6AB95C7F">
      <w:pPr>
        <w:pStyle w:val="11"/>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outlineLvl w:val="0"/>
        <w:rPr>
          <w:rFonts w:hint="eastAsia" w:ascii="方正小标宋简体" w:hAnsi="方正小标宋简体" w:eastAsia="方正小标宋简体" w:cs="方正小标宋简体"/>
          <w:b w:val="0"/>
          <w:bCs w:val="0"/>
          <w:snapToGrid/>
          <w:color w:val="auto"/>
          <w:kern w:val="2"/>
          <w:sz w:val="44"/>
          <w:szCs w:val="44"/>
          <w:lang w:val="en-US" w:eastAsia="zh-CN" w:bidi="ar-SA"/>
        </w:rPr>
      </w:pPr>
      <w:r>
        <w:rPr>
          <w:rFonts w:hint="eastAsia" w:ascii="方正小标宋简体" w:hAnsi="方正小标宋简体" w:eastAsia="方正小标宋简体" w:cs="方正小标宋简体"/>
          <w:b w:val="0"/>
          <w:bCs w:val="0"/>
          <w:snapToGrid/>
          <w:color w:val="auto"/>
          <w:kern w:val="2"/>
          <w:sz w:val="44"/>
          <w:szCs w:val="44"/>
          <w:lang w:val="en-US" w:eastAsia="zh-CN" w:bidi="ar-SA"/>
        </w:rPr>
        <w:t>捐赠物资管理办法</w:t>
      </w:r>
    </w:p>
    <w:p w14:paraId="09C55DDE">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13B86182">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第一章  总  则</w:t>
      </w:r>
    </w:p>
    <w:p w14:paraId="50C7A44D">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5F4B5625">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第一条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为规范物资捐赠活动，严格对捐赠物资的管理，确保捐赠者和捐赠受益者的合法权益，根据《中华人民共和国公益事业捐赠法》、国务院第 400 号令《基金会管理条例》和《湖南省株洲长鸿实验学校教育发展基金会章程》，制定本办法。</w:t>
      </w:r>
    </w:p>
    <w:p w14:paraId="54720E69">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第二条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湖南省株洲长鸿实验学校教育发展基金会（以下简称“基金会”）在开展物资募捐活动时，坚决贯彻自愿和无偿的原则，决不搞强行摊派或变相摊派，并严禁以捐赠为名从事营利活动。</w:t>
      </w:r>
    </w:p>
    <w:p w14:paraId="339B00A3">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第三条 捐赠</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物资的代用范围：</w:t>
      </w:r>
    </w:p>
    <w:p w14:paraId="2425A546">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（一）帮助贫困地区字:校改善办学条件；</w:t>
      </w:r>
    </w:p>
    <w:p w14:paraId="7FB242B9">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（二）帮助贫困青少年改善生活条件；</w:t>
      </w:r>
    </w:p>
    <w:p w14:paraId="1C17B945">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（三）根据捐赠者的意愿，用于其他公益项目；</w:t>
      </w:r>
    </w:p>
    <w:p w14:paraId="411ACA96">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（四）配合、支持由政府统筹安排的其他资助活动。</w:t>
      </w:r>
    </w:p>
    <w:p w14:paraId="2B7F52CC">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70E7B07A">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第二章  接受捐赠</w:t>
      </w:r>
    </w:p>
    <w:p w14:paraId="026B9942">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5279CB4D">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第四条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愿意捐赠的自然人、法人或者其他组织，可以向基金会捐赠其有权处理的合法物资。</w:t>
      </w:r>
    </w:p>
    <w:p w14:paraId="2EF27F69">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第五条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基金会在接受捐赠物资时应当场验收，物资数量须经捐赠者、基金会两人以上清点核实无误后入库。捐赠者所捐实物不能马上兑现的，基金会应与捐赠者另签订写明捐赠实物种类、质量、数量和兑现时间等内容的捐赠协议。</w:t>
      </w:r>
    </w:p>
    <w:p w14:paraId="7399962E">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第六条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捐赠人提供了有关凭据（如发票、报关单、有关协议等）的，本基金会应当按照凭据上标明的金额，作为入账价值。如果凭据上表明的金额与捐赠物资公允价值相差较大的，捐赠物资应当以其公允价值作为其实际价值。捐赠人有提供有关凭据的，捐赠物资以其公允价值作为入账价值。</w:t>
      </w:r>
    </w:p>
    <w:p w14:paraId="7769D462">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第七条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对符合国家税收法律法规规定的捐赠，捐赠者可凭上述捐赠凭证享受相关税收优惠政策。具体事宜则按国家有关规定办理。</w:t>
      </w:r>
    </w:p>
    <w:p w14:paraId="0EA85FAD">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2536CA57">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第三章  捐赠物资的管理和使用</w:t>
      </w:r>
    </w:p>
    <w:p w14:paraId="090DCB9E">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2BD48515">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第八条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基金会对捐赠物资实行设立专门会计科目单独核算并进行专项管理的办法，并建立严格的分类登记制度。</w:t>
      </w:r>
    </w:p>
    <w:p w14:paraId="473EB0B5">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第九条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基金会捐赠物资入库管理：</w:t>
      </w:r>
    </w:p>
    <w:p w14:paraId="2139FB80">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（一）捐赠物资入库时，由工作人员核实数量、检验质量，填制入库单；</w:t>
      </w:r>
    </w:p>
    <w:p w14:paraId="4CE32D89">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（二）捐赠物资要安排专人保管，建立库存物资台账，凭入库单清点物资入库，凭出库单清点物资出库；</w:t>
      </w:r>
    </w:p>
    <w:p w14:paraId="1CFAE14D">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（三）捐赠物资要分类存放，搞好维护保养，防止霉烂；</w:t>
      </w:r>
    </w:p>
    <w:p w14:paraId="38C3851B">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（四）定期对捐赠物资进行清查对账，做到账实相符，清查对账时要会同财务部门共同执行。如发现问题要及时查明原因，报主管领导，并做出相应处理。</w:t>
      </w:r>
    </w:p>
    <w:p w14:paraId="677C1D33">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基金会捐赠物资出库及分发管理：</w:t>
      </w:r>
    </w:p>
    <w:p w14:paraId="321220F7">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（一）基金会严格履行捐赠协议，按规定执行捐赠物资的出库及分发工作；</w:t>
      </w:r>
    </w:p>
    <w:p w14:paraId="5FBAA27E">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二）捐赠物资出库时须办理出库单，物资出库及分发程序要严格依据捐赠协议，完全遵照捐赠者意愿向捐赠受益者提出物资使用要求，并将捐赠物资按出库单内容全部交付捐赠受益者。捐赠受益者清点物资无误后，开具物资接收凭据寄回至基金会财务部门记账。</w:t>
      </w:r>
    </w:p>
    <w:p w14:paraId="36873AED">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第十一条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对捐赠者有明确意愿的物资，基金会完全按照捐赠者意愿使用。</w:t>
      </w:r>
    </w:p>
    <w:p w14:paraId="01FCA7BD">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第十二条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在捐赠物资的接收和使用方面，基金会将自觉接受审计、监察部门的审计、监察，亦接受社会各界的监督。基金会接受捐赠物资和物资分发一律进行社会公示，公示内容包括：接收捐赠物资的日期、捐赠者名称、物资品种、数量、价值和物资分发去向、用途等，通过媒体、网站进行公示。</w:t>
      </w:r>
    </w:p>
    <w:p w14:paraId="039856C3">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第十三条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捐赠者有权向受捐赠者查询捐赠物资的使用、管理情况，并提出意见和建议。对于捐赠者的查询，捐赠受益者应当如实答复。</w:t>
      </w:r>
    </w:p>
    <w:p w14:paraId="5CA189F8">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235C56EA">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第四章  法律责任</w:t>
      </w:r>
    </w:p>
    <w:p w14:paraId="64086A71">
      <w:pPr>
        <w:keepNext w:val="0"/>
        <w:keepLines w:val="0"/>
        <w:pageBreakBefore w:val="0"/>
        <w:wordWrap/>
        <w:overflowPunct/>
        <w:topLinePunct w:val="0"/>
        <w:bidi w:val="0"/>
        <w:spacing w:line="620" w:lineRule="exact"/>
        <w:jc w:val="both"/>
        <w:rPr>
          <w:rFonts w:hint="eastAsia" w:ascii="黑体" w:hAnsi="黑体" w:eastAsia="黑体" w:cs="黑体"/>
          <w:b/>
          <w:bCs/>
          <w:sz w:val="32"/>
          <w:szCs w:val="32"/>
          <w:lang w:val="en-US" w:eastAsia="zh-CN"/>
        </w:rPr>
      </w:pPr>
    </w:p>
    <w:p w14:paraId="11C6CCD6">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第十四条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捐赠者须认真履行捐赠协议，应按照捐赠协议约定的期限和方式将捐赠物资转交基金会。对不能按时履约的，应及时向基金会说明情况，并签订补充履约协议。基金会有权依法向协议捐赠者追要捐赠物资，并通过适当方式向社会公告说明。</w:t>
      </w:r>
    </w:p>
    <w:p w14:paraId="6B7DD909">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第十五条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基金会工作人员如滥用职权，玩忽职守，徇私舞弊，致使捐赠物资造成重大损失的，基金会将依照有关规定及时作出处理；情节严重、构成犯罪的，将移交相关司法部门，依法追究其刑事责任。</w:t>
      </w:r>
    </w:p>
    <w:p w14:paraId="7F014186">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第十六条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基金会所接受的捐赠，要按照相关法律法规和捐赠物资的使用范围，全部、足额使用。不得以任何理由挪作他用。</w:t>
      </w:r>
    </w:p>
    <w:p w14:paraId="48C4EA47">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3F67C83C">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第五章  监督检查</w:t>
      </w:r>
    </w:p>
    <w:p w14:paraId="7F6F565F">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63724B7F">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第十七条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基金会要组织人力及时开展对捐赠物资发放，使用情况的日常自查和自我监督。</w:t>
      </w:r>
    </w:p>
    <w:p w14:paraId="623540C4">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第十八条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自查和自我监督的重点内容为：</w:t>
      </w:r>
    </w:p>
    <w:p w14:paraId="4B6A819D">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（一）捐赠物资是否真正落实到应该接受捐助的受捐对象身上；</w:t>
      </w:r>
    </w:p>
    <w:p w14:paraId="45CC64E0">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（二）对捐赠者指定捐赠物资用途或者捐助地区的，是否按照捐赠者意愿使用；</w:t>
      </w:r>
    </w:p>
    <w:p w14:paraId="38EF0AFC">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（三）物资捐赠过程中，是否存在违背本办法规定的行为。</w:t>
      </w:r>
    </w:p>
    <w:p w14:paraId="48C2B390">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第十九条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如有人对经初审接受捐赠物资的受捐对象进行举报，基金会要及时查清原因，并做出认真、严肃处理，处理结果亦要公布。</w:t>
      </w:r>
    </w:p>
    <w:p w14:paraId="56A42E67">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第二十条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在发放捐赠物资的过程中，如发现截留、挤占。挪用、拖延支付、抵扣捐赠物资，或弄虚作假等问题时，基金会要立即会同有关方面严肃查处，并及时公布查处结果。</w:t>
      </w:r>
    </w:p>
    <w:p w14:paraId="5400170B">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208E9F92">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第六章  附 则</w:t>
      </w:r>
    </w:p>
    <w:p w14:paraId="726A8B29">
      <w:pPr>
        <w:keepNext w:val="0"/>
        <w:keepLines w:val="0"/>
        <w:pageBreakBefore w:val="0"/>
        <w:wordWrap/>
        <w:overflowPunct/>
        <w:topLinePunct w:val="0"/>
        <w:bidi w:val="0"/>
        <w:spacing w:line="620" w:lineRule="exact"/>
        <w:jc w:val="center"/>
        <w:rPr>
          <w:rFonts w:hint="eastAsia" w:ascii="黑体" w:hAnsi="黑体" w:eastAsia="黑体" w:cs="黑体"/>
          <w:b/>
          <w:bCs/>
          <w:sz w:val="32"/>
          <w:szCs w:val="32"/>
          <w:lang w:val="en-US" w:eastAsia="zh-CN"/>
        </w:rPr>
      </w:pPr>
    </w:p>
    <w:p w14:paraId="192EBFCA">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第二十一条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本办法由基金会负责解释。</w:t>
      </w:r>
    </w:p>
    <w:p w14:paraId="14BF5E6E">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 xml:space="preserve">第二十二条 </w:t>
      </w: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本办法经基金会理事会通过后执行。</w:t>
      </w:r>
    </w:p>
    <w:p w14:paraId="08849911">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3" w:firstLineChars="200"/>
        <w:jc w:val="both"/>
        <w:textAlignment w:val="auto"/>
        <w:outlineLvl w:val="9"/>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lang w:val="en-US" w:eastAsia="zh-CN" w:bidi="zh-CN"/>
          <w14:textFill>
            <w14:solidFill>
              <w14:schemeClr w14:val="tx1"/>
            </w14:solidFill>
          </w14:textFill>
        </w:rPr>
        <w:t>附件：</w:t>
      </w:r>
    </w:p>
    <w:p w14:paraId="5693A04B">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1、捐赠物资入库单</w:t>
      </w:r>
    </w:p>
    <w:p w14:paraId="0F86B998">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620" w:lineRule="exact"/>
        <w:ind w:firstLine="640" w:firstLineChars="200"/>
        <w:jc w:val="both"/>
        <w:textAlignment w:val="auto"/>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2、捐赠物资出库单</w:t>
      </w:r>
    </w:p>
    <w:p w14:paraId="7ECF30D2">
      <w:pPr>
        <w:pStyle w:val="11"/>
        <w:keepNext w:val="0"/>
        <w:keepLines w:val="0"/>
        <w:pageBreakBefore w:val="0"/>
        <w:widowControl w:val="0"/>
        <w:numPr>
          <w:ilvl w:val="0"/>
          <w:numId w:val="0"/>
        </w:numPr>
        <w:wordWrap/>
        <w:overflowPunct/>
        <w:topLinePunct w:val="0"/>
        <w:bidi w:val="0"/>
        <w:spacing w:before="120" w:after="120" w:line="620" w:lineRule="exact"/>
        <w:jc w:val="both"/>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p>
    <w:p w14:paraId="5F547B47">
      <w:pP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br w:type="page"/>
      </w:r>
    </w:p>
    <w:p w14:paraId="3FD807D1">
      <w:pPr>
        <w:pStyle w:val="11"/>
        <w:keepNext w:val="0"/>
        <w:keepLines w:val="0"/>
        <w:pageBreakBefore w:val="0"/>
        <w:widowControl w:val="0"/>
        <w:numPr>
          <w:ilvl w:val="0"/>
          <w:numId w:val="0"/>
        </w:numPr>
        <w:wordWrap/>
        <w:overflowPunct/>
        <w:topLinePunct w:val="0"/>
        <w:bidi w:val="0"/>
        <w:spacing w:before="120" w:after="120" w:line="620" w:lineRule="exact"/>
        <w:jc w:val="both"/>
        <w:outlineLvl w:val="9"/>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bidi="zh-CN"/>
          <w14:textFill>
            <w14:solidFill>
              <w14:schemeClr w14:val="tx1"/>
            </w14:solidFill>
          </w14:textFill>
        </w:rPr>
        <w:t>附件1：</w:t>
      </w:r>
    </w:p>
    <w:p w14:paraId="38579FE1">
      <w:pPr>
        <w:pStyle w:val="11"/>
        <w:keepNext w:val="0"/>
        <w:keepLines w:val="0"/>
        <w:pageBreakBefore w:val="0"/>
        <w:widowControl w:val="0"/>
        <w:numPr>
          <w:ilvl w:val="0"/>
          <w:numId w:val="0"/>
        </w:numPr>
        <w:wordWrap/>
        <w:overflowPunct/>
        <w:topLinePunct w:val="0"/>
        <w:bidi w:val="0"/>
        <w:spacing w:before="120" w:after="120" w:line="620" w:lineRule="exact"/>
        <w:jc w:val="center"/>
        <w:outlineLvl w:val="9"/>
        <w:rPr>
          <w:rFonts w:hint="eastAsia" w:ascii="仿宋" w:hAnsi="仿宋" w:eastAsia="仿宋" w:cs="仿宋"/>
          <w:b/>
          <w:bCs/>
          <w:color w:val="000000" w:themeColor="text1"/>
          <w:kern w:val="0"/>
          <w:sz w:val="28"/>
          <w:szCs w:val="28"/>
          <w:lang w:val="en-US" w:eastAsia="zh-CN" w:bidi="zh-CN"/>
          <w14:textFill>
            <w14:solidFill>
              <w14:schemeClr w14:val="tx1"/>
            </w14:solidFill>
          </w14:textFill>
        </w:rPr>
      </w:pPr>
      <w:r>
        <w:rPr>
          <w:rFonts w:hint="eastAsia" w:ascii="仿宋" w:hAnsi="仿宋" w:eastAsia="仿宋" w:cs="仿宋"/>
          <w:b/>
          <w:bCs/>
          <w:color w:val="000000" w:themeColor="text1"/>
          <w:kern w:val="0"/>
          <w:sz w:val="28"/>
          <w:szCs w:val="28"/>
          <w:lang w:val="en-US" w:eastAsia="zh-CN" w:bidi="zh-CN"/>
          <w14:textFill>
            <w14:solidFill>
              <w14:schemeClr w14:val="tx1"/>
            </w14:solidFill>
          </w14:textFill>
        </w:rPr>
        <w:t>捐赠物资入库单</w:t>
      </w:r>
    </w:p>
    <w:tbl>
      <w:tblPr>
        <w:tblStyle w:val="9"/>
        <w:tblW w:w="0" w:type="auto"/>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5"/>
        <w:gridCol w:w="4261"/>
      </w:tblGrid>
      <w:tr w14:paraId="6F38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dxa"/>
          </w:tcPr>
          <w:p w14:paraId="3F5A9F99">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0" w:name="_Toc20937"/>
            <w:bookmarkStart w:id="1" w:name="_Toc7548"/>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捐赠方</w:t>
            </w:r>
            <w:bookmarkEnd w:id="0"/>
            <w:bookmarkEnd w:id="1"/>
          </w:p>
        </w:tc>
        <w:tc>
          <w:tcPr>
            <w:tcW w:w="4261" w:type="dxa"/>
          </w:tcPr>
          <w:p w14:paraId="47E14AA9">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558F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dxa"/>
          </w:tcPr>
          <w:p w14:paraId="61397C30">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2" w:name="_Toc2130"/>
            <w:bookmarkStart w:id="3" w:name="_Toc14181"/>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入库日期</w:t>
            </w:r>
            <w:bookmarkEnd w:id="2"/>
            <w:bookmarkEnd w:id="3"/>
          </w:p>
        </w:tc>
        <w:tc>
          <w:tcPr>
            <w:tcW w:w="4261" w:type="dxa"/>
          </w:tcPr>
          <w:p w14:paraId="5AD9C31E">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16CB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3735" w:type="dxa"/>
          </w:tcPr>
          <w:p w14:paraId="2519A524">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pPr>
            <w:bookmarkStart w:id="4" w:name="_Toc21537"/>
            <w:bookmarkStart w:id="5" w:name="_Toc13838"/>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捐赠物资明细</w:t>
            </w:r>
            <w:bookmarkEnd w:id="4"/>
            <w:bookmarkEnd w:id="5"/>
          </w:p>
          <w:p w14:paraId="085A3BB0">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6" w:name="_Toc12386"/>
            <w:bookmarkStart w:id="7" w:name="_Toc3093"/>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（品种、数量、体积）</w:t>
            </w:r>
            <w:bookmarkEnd w:id="6"/>
            <w:bookmarkEnd w:id="7"/>
          </w:p>
        </w:tc>
        <w:tc>
          <w:tcPr>
            <w:tcW w:w="4261" w:type="dxa"/>
          </w:tcPr>
          <w:p w14:paraId="5356C915">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6E4C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dxa"/>
          </w:tcPr>
          <w:p w14:paraId="733CA2A9">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8" w:name="_Toc11877"/>
            <w:bookmarkStart w:id="9" w:name="_Toc29376"/>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捐赠物资价值</w:t>
            </w:r>
            <w:bookmarkEnd w:id="8"/>
            <w:bookmarkEnd w:id="9"/>
          </w:p>
        </w:tc>
        <w:tc>
          <w:tcPr>
            <w:tcW w:w="4261" w:type="dxa"/>
          </w:tcPr>
          <w:p w14:paraId="75EA0D91">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12FC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dxa"/>
          </w:tcPr>
          <w:p w14:paraId="3A481C1C">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10" w:name="_Toc19194"/>
            <w:bookmarkStart w:id="11" w:name="_Toc9139"/>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捐赠意愿</w:t>
            </w:r>
            <w:bookmarkEnd w:id="10"/>
            <w:bookmarkEnd w:id="11"/>
          </w:p>
        </w:tc>
        <w:tc>
          <w:tcPr>
            <w:tcW w:w="4261" w:type="dxa"/>
          </w:tcPr>
          <w:p w14:paraId="0D72D379">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048C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dxa"/>
          </w:tcPr>
          <w:p w14:paraId="78B6A601">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12" w:name="_Toc28768"/>
            <w:bookmarkStart w:id="13" w:name="_Toc22690"/>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经办人</w:t>
            </w:r>
            <w:bookmarkEnd w:id="12"/>
            <w:bookmarkEnd w:id="13"/>
          </w:p>
        </w:tc>
        <w:tc>
          <w:tcPr>
            <w:tcW w:w="4261" w:type="dxa"/>
          </w:tcPr>
          <w:p w14:paraId="61287D27">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687B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dxa"/>
          </w:tcPr>
          <w:p w14:paraId="2E9E09CC">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14" w:name="_Toc31650"/>
            <w:bookmarkStart w:id="15" w:name="_Toc21689"/>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办公室入库签收</w:t>
            </w:r>
            <w:bookmarkEnd w:id="14"/>
            <w:bookmarkEnd w:id="15"/>
          </w:p>
        </w:tc>
        <w:tc>
          <w:tcPr>
            <w:tcW w:w="4261" w:type="dxa"/>
          </w:tcPr>
          <w:p w14:paraId="2D3704DA">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331B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dxa"/>
          </w:tcPr>
          <w:p w14:paraId="5AF3F888">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bookmarkStart w:id="16" w:name="_Toc19905"/>
            <w:bookmarkStart w:id="17" w:name="_Toc3111"/>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财务部验收</w:t>
            </w:r>
            <w:bookmarkEnd w:id="16"/>
            <w:bookmarkEnd w:id="17"/>
          </w:p>
        </w:tc>
        <w:tc>
          <w:tcPr>
            <w:tcW w:w="4261" w:type="dxa"/>
          </w:tcPr>
          <w:p w14:paraId="4BF5C47C">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bl>
    <w:p w14:paraId="0B7E115A">
      <w:pPr>
        <w:pStyle w:val="11"/>
        <w:keepNext w:val="0"/>
        <w:keepLines w:val="0"/>
        <w:pageBreakBefore w:val="0"/>
        <w:widowControl w:val="0"/>
        <w:numPr>
          <w:ilvl w:val="0"/>
          <w:numId w:val="0"/>
        </w:numPr>
        <w:wordWrap/>
        <w:overflowPunct/>
        <w:topLinePunct w:val="0"/>
        <w:bidi w:val="0"/>
        <w:spacing w:before="120" w:after="120" w:line="620" w:lineRule="exact"/>
        <w:jc w:val="center"/>
        <w:outlineLvl w:val="2"/>
        <w:rPr>
          <w:rFonts w:hint="default" w:ascii="仿宋" w:hAnsi="仿宋" w:eastAsia="仿宋" w:cs="仿宋"/>
          <w:b/>
          <w:bCs/>
          <w:color w:val="000000" w:themeColor="text1"/>
          <w:kern w:val="0"/>
          <w:sz w:val="28"/>
          <w:szCs w:val="28"/>
          <w:lang w:val="en-US" w:eastAsia="zh-CN" w:bidi="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1C22D9EC">
      <w:pPr>
        <w:pStyle w:val="11"/>
        <w:keepNext w:val="0"/>
        <w:keepLines w:val="0"/>
        <w:pageBreakBefore w:val="0"/>
        <w:widowControl w:val="0"/>
        <w:numPr>
          <w:ilvl w:val="0"/>
          <w:numId w:val="0"/>
        </w:numPr>
        <w:wordWrap/>
        <w:overflowPunct/>
        <w:topLinePunct w:val="0"/>
        <w:bidi w:val="0"/>
        <w:spacing w:before="120" w:after="120" w:line="620" w:lineRule="exact"/>
        <w:jc w:val="both"/>
        <w:outlineLvl w:val="9"/>
        <w:rPr>
          <w:rFonts w:hint="eastAsia" w:ascii="仿宋" w:hAnsi="仿宋" w:eastAsia="仿宋" w:cs="仿宋"/>
          <w:b/>
          <w:bCs/>
          <w:color w:val="000000" w:themeColor="text1"/>
          <w:kern w:val="0"/>
          <w:sz w:val="32"/>
          <w:szCs w:val="32"/>
          <w:lang w:val="en-US" w:eastAsia="zh-CN" w:bidi="zh-CN"/>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zh-CN"/>
          <w14:textFill>
            <w14:solidFill>
              <w14:schemeClr w14:val="tx1"/>
            </w14:solidFill>
          </w14:textFill>
        </w:rPr>
        <w:t>附件2：</w:t>
      </w:r>
    </w:p>
    <w:p w14:paraId="63A6FCAF">
      <w:pPr>
        <w:pStyle w:val="11"/>
        <w:keepNext w:val="0"/>
        <w:keepLines w:val="0"/>
        <w:pageBreakBefore w:val="0"/>
        <w:wordWrap/>
        <w:overflowPunct/>
        <w:topLinePunct w:val="0"/>
        <w:bidi w:val="0"/>
        <w:spacing w:line="620" w:lineRule="exact"/>
        <w:jc w:val="center"/>
        <w:outlineLvl w:val="9"/>
        <w:rPr>
          <w:rFonts w:hint="eastAsia" w:ascii="仿宋" w:hAnsi="仿宋" w:eastAsia="仿宋" w:cs="仿宋"/>
          <w:b/>
          <w:bCs/>
          <w:color w:val="000000" w:themeColor="text1"/>
          <w:kern w:val="0"/>
          <w:sz w:val="28"/>
          <w:szCs w:val="28"/>
          <w:lang w:val="en-US" w:eastAsia="zh-CN" w:bidi="zh-CN"/>
          <w14:textFill>
            <w14:solidFill>
              <w14:schemeClr w14:val="tx1"/>
            </w14:solidFill>
          </w14:textFill>
        </w:rPr>
      </w:pPr>
      <w:r>
        <w:rPr>
          <w:rFonts w:hint="eastAsia" w:ascii="仿宋" w:hAnsi="仿宋" w:eastAsia="仿宋" w:cs="仿宋"/>
          <w:b/>
          <w:bCs/>
          <w:color w:val="000000" w:themeColor="text1"/>
          <w:kern w:val="0"/>
          <w:sz w:val="28"/>
          <w:szCs w:val="28"/>
          <w:lang w:val="en-US" w:eastAsia="zh-CN" w:bidi="zh-CN"/>
          <w14:textFill>
            <w14:solidFill>
              <w14:schemeClr w14:val="tx1"/>
            </w14:solidFill>
          </w14:textFill>
        </w:rPr>
        <w:t>捐赠物资出库单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8AB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BF46DB">
            <w:pPr>
              <w:pStyle w:val="11"/>
              <w:keepNext w:val="0"/>
              <w:keepLines w:val="0"/>
              <w:pageBreakBefore w:val="0"/>
              <w:wordWrap/>
              <w:overflowPunct/>
              <w:topLinePunct w:val="0"/>
              <w:bidi w:val="0"/>
              <w:spacing w:line="620" w:lineRule="exact"/>
              <w:jc w:val="center"/>
              <w:outlineLvl w:val="2"/>
              <w:rPr>
                <w:rFonts w:hint="default"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pPr>
            <w:bookmarkStart w:id="18" w:name="_Toc5558"/>
            <w:bookmarkStart w:id="19" w:name="_Toc8419"/>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出库日期</w:t>
            </w:r>
            <w:bookmarkEnd w:id="18"/>
            <w:bookmarkEnd w:id="19"/>
          </w:p>
        </w:tc>
        <w:tc>
          <w:tcPr>
            <w:tcW w:w="4261" w:type="dxa"/>
          </w:tcPr>
          <w:p w14:paraId="7D3E49A2">
            <w:pPr>
              <w:pStyle w:val="11"/>
              <w:keepNext w:val="0"/>
              <w:keepLines w:val="0"/>
              <w:pageBreakBefore w:val="0"/>
              <w:wordWrap/>
              <w:overflowPunct/>
              <w:topLinePunct w:val="0"/>
              <w:bidi w:val="0"/>
              <w:spacing w:line="620" w:lineRule="exact"/>
              <w:jc w:val="center"/>
              <w:outlineLvl w:val="2"/>
              <w:rPr>
                <w:rFonts w:hint="eastAsia"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2276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7C9A57">
            <w:pPr>
              <w:pStyle w:val="11"/>
              <w:keepNext w:val="0"/>
              <w:keepLines w:val="0"/>
              <w:pageBreakBefore w:val="0"/>
              <w:wordWrap/>
              <w:overflowPunct/>
              <w:topLinePunct w:val="0"/>
              <w:bidi w:val="0"/>
              <w:spacing w:line="620" w:lineRule="exact"/>
              <w:jc w:val="center"/>
              <w:outlineLvl w:val="2"/>
              <w:rPr>
                <w:rFonts w:hint="default"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pPr>
            <w:bookmarkStart w:id="20" w:name="_Toc7033"/>
            <w:bookmarkStart w:id="21" w:name="_Toc4257"/>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用途</w:t>
            </w:r>
            <w:bookmarkEnd w:id="20"/>
            <w:bookmarkEnd w:id="21"/>
          </w:p>
        </w:tc>
        <w:tc>
          <w:tcPr>
            <w:tcW w:w="4261" w:type="dxa"/>
          </w:tcPr>
          <w:p w14:paraId="434246EC">
            <w:pPr>
              <w:pStyle w:val="11"/>
              <w:keepNext w:val="0"/>
              <w:keepLines w:val="0"/>
              <w:pageBreakBefore w:val="0"/>
              <w:wordWrap/>
              <w:overflowPunct/>
              <w:topLinePunct w:val="0"/>
              <w:bidi w:val="0"/>
              <w:spacing w:line="620" w:lineRule="exact"/>
              <w:jc w:val="center"/>
              <w:outlineLvl w:val="2"/>
              <w:rPr>
                <w:rFonts w:hint="eastAsia"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020E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B011649">
            <w:pPr>
              <w:pStyle w:val="11"/>
              <w:keepNext w:val="0"/>
              <w:keepLines w:val="0"/>
              <w:pageBreakBefore w:val="0"/>
              <w:wordWrap/>
              <w:overflowPunct/>
              <w:topLinePunct w:val="0"/>
              <w:bidi w:val="0"/>
              <w:spacing w:line="620" w:lineRule="exact"/>
              <w:jc w:val="center"/>
              <w:outlineLvl w:val="2"/>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pPr>
            <w:bookmarkStart w:id="22" w:name="_Toc946"/>
            <w:bookmarkStart w:id="23" w:name="_Toc15947"/>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发出捐赠物资明细</w:t>
            </w:r>
            <w:bookmarkEnd w:id="22"/>
            <w:bookmarkEnd w:id="23"/>
          </w:p>
          <w:p w14:paraId="6159D7D0">
            <w:pPr>
              <w:pStyle w:val="11"/>
              <w:keepNext w:val="0"/>
              <w:keepLines w:val="0"/>
              <w:pageBreakBefore w:val="0"/>
              <w:wordWrap/>
              <w:overflowPunct/>
              <w:topLinePunct w:val="0"/>
              <w:bidi w:val="0"/>
              <w:spacing w:line="620" w:lineRule="exact"/>
              <w:ind w:left="0" w:leftChars="0" w:firstLine="0" w:firstLineChars="0"/>
              <w:jc w:val="both"/>
              <w:outlineLvl w:val="2"/>
              <w:rPr>
                <w:rFonts w:hint="default"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pPr>
            <w:bookmarkStart w:id="24" w:name="_Toc26439"/>
            <w:bookmarkStart w:id="25" w:name="_Toc27265"/>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（捐赠方、品种、数量、体积、价值）</w:t>
            </w:r>
            <w:bookmarkEnd w:id="24"/>
            <w:bookmarkEnd w:id="25"/>
          </w:p>
        </w:tc>
        <w:tc>
          <w:tcPr>
            <w:tcW w:w="4261" w:type="dxa"/>
          </w:tcPr>
          <w:p w14:paraId="0BFDEBCC">
            <w:pPr>
              <w:pStyle w:val="11"/>
              <w:keepNext w:val="0"/>
              <w:keepLines w:val="0"/>
              <w:pageBreakBefore w:val="0"/>
              <w:wordWrap/>
              <w:overflowPunct/>
              <w:topLinePunct w:val="0"/>
              <w:bidi w:val="0"/>
              <w:spacing w:line="620" w:lineRule="exact"/>
              <w:jc w:val="center"/>
              <w:outlineLvl w:val="2"/>
              <w:rPr>
                <w:rFonts w:hint="eastAsia"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44B3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6B7722C">
            <w:pPr>
              <w:pStyle w:val="11"/>
              <w:keepNext w:val="0"/>
              <w:keepLines w:val="0"/>
              <w:pageBreakBefore w:val="0"/>
              <w:wordWrap/>
              <w:overflowPunct/>
              <w:topLinePunct w:val="0"/>
              <w:bidi w:val="0"/>
              <w:spacing w:line="620" w:lineRule="exact"/>
              <w:jc w:val="center"/>
              <w:outlineLvl w:val="2"/>
              <w:rPr>
                <w:rFonts w:hint="default"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pPr>
            <w:bookmarkStart w:id="26" w:name="_Toc21747"/>
            <w:bookmarkStart w:id="27" w:name="_Toc15166"/>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领导批示</w:t>
            </w:r>
            <w:bookmarkEnd w:id="26"/>
            <w:bookmarkEnd w:id="27"/>
          </w:p>
        </w:tc>
        <w:tc>
          <w:tcPr>
            <w:tcW w:w="4261" w:type="dxa"/>
          </w:tcPr>
          <w:p w14:paraId="11D783DA">
            <w:pPr>
              <w:pStyle w:val="11"/>
              <w:keepNext w:val="0"/>
              <w:keepLines w:val="0"/>
              <w:pageBreakBefore w:val="0"/>
              <w:wordWrap/>
              <w:overflowPunct/>
              <w:topLinePunct w:val="0"/>
              <w:bidi w:val="0"/>
              <w:spacing w:line="620" w:lineRule="exact"/>
              <w:jc w:val="center"/>
              <w:outlineLvl w:val="2"/>
              <w:rPr>
                <w:rFonts w:hint="eastAsia"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r w14:paraId="160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1907C6E">
            <w:pPr>
              <w:pStyle w:val="11"/>
              <w:keepNext w:val="0"/>
              <w:keepLines w:val="0"/>
              <w:pageBreakBefore w:val="0"/>
              <w:wordWrap/>
              <w:overflowPunct/>
              <w:topLinePunct w:val="0"/>
              <w:bidi w:val="0"/>
              <w:spacing w:line="620" w:lineRule="exact"/>
              <w:jc w:val="center"/>
              <w:outlineLvl w:val="2"/>
              <w:rPr>
                <w:rFonts w:hint="default"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pPr>
            <w:bookmarkStart w:id="28" w:name="_Toc23631"/>
            <w:bookmarkStart w:id="29" w:name="_Toc2280"/>
            <w:r>
              <w:rPr>
                <w:rFonts w:hint="eastAsia" w:ascii="仿宋" w:hAnsi="仿宋" w:eastAsia="仿宋" w:cs="仿宋"/>
                <w:b w:val="0"/>
                <w:bCs w:val="0"/>
                <w:color w:val="000000" w:themeColor="text1"/>
                <w:kern w:val="0"/>
                <w:sz w:val="28"/>
                <w:szCs w:val="28"/>
                <w:vertAlign w:val="baseline"/>
                <w:lang w:val="en-US" w:eastAsia="zh-CN" w:bidi="zh-CN"/>
                <w14:textFill>
                  <w14:solidFill>
                    <w14:schemeClr w14:val="tx1"/>
                  </w14:solidFill>
                </w14:textFill>
              </w:rPr>
              <w:t>经办人</w:t>
            </w:r>
            <w:bookmarkEnd w:id="28"/>
            <w:bookmarkEnd w:id="29"/>
          </w:p>
        </w:tc>
        <w:tc>
          <w:tcPr>
            <w:tcW w:w="4261" w:type="dxa"/>
          </w:tcPr>
          <w:p w14:paraId="586D3C06">
            <w:pPr>
              <w:pStyle w:val="11"/>
              <w:keepNext w:val="0"/>
              <w:keepLines w:val="0"/>
              <w:pageBreakBefore w:val="0"/>
              <w:wordWrap/>
              <w:overflowPunct/>
              <w:topLinePunct w:val="0"/>
              <w:bidi w:val="0"/>
              <w:spacing w:line="620" w:lineRule="exact"/>
              <w:jc w:val="center"/>
              <w:outlineLvl w:val="2"/>
              <w:rPr>
                <w:rFonts w:hint="eastAsia" w:ascii="仿宋" w:hAnsi="仿宋" w:eastAsia="仿宋" w:cs="仿宋"/>
                <w:b/>
                <w:bCs/>
                <w:color w:val="000000" w:themeColor="text1"/>
                <w:kern w:val="0"/>
                <w:sz w:val="28"/>
                <w:szCs w:val="28"/>
                <w:vertAlign w:val="baseline"/>
                <w:lang w:val="en-US" w:eastAsia="zh-CN" w:bidi="zh-CN"/>
                <w14:textFill>
                  <w14:solidFill>
                    <w14:schemeClr w14:val="tx1"/>
                  </w14:solidFill>
                </w14:textFill>
              </w:rPr>
            </w:pPr>
          </w:p>
        </w:tc>
      </w:tr>
    </w:tbl>
    <w:p w14:paraId="7EEDFD7B">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98AA40-D05F-44FC-90CA-E4951E9479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BABE562-912F-4CC8-9E85-1087EDECC699}"/>
  </w:font>
  <w:font w:name="方正小标宋简体">
    <w:panose1 w:val="02000000000000000000"/>
    <w:charset w:val="86"/>
    <w:family w:val="auto"/>
    <w:pitch w:val="default"/>
    <w:sig w:usb0="00000001" w:usb1="08000000" w:usb2="00000000" w:usb3="00000000" w:csb0="00040000" w:csb1="00000000"/>
    <w:embedRegular r:id="rId3" w:fontKey="{23B54AC6-A319-4E7E-A51F-12B7AA795CC2}"/>
  </w:font>
  <w:font w:name="方正仿宋_GB2312">
    <w:panose1 w:val="02000000000000000000"/>
    <w:charset w:val="86"/>
    <w:family w:val="auto"/>
    <w:pitch w:val="default"/>
    <w:sig w:usb0="A00002BF" w:usb1="184F6CFA" w:usb2="00000012" w:usb3="00000000" w:csb0="00040001" w:csb1="00000000"/>
    <w:embedRegular r:id="rId4" w:fontKey="{13310BDA-4BC7-47BD-8379-E55B2F0870E2}"/>
  </w:font>
  <w:font w:name="仿宋">
    <w:panose1 w:val="02010609060101010101"/>
    <w:charset w:val="86"/>
    <w:family w:val="auto"/>
    <w:pitch w:val="default"/>
    <w:sig w:usb0="800002BF" w:usb1="38CF7CFA" w:usb2="00000016" w:usb3="00000000" w:csb0="00040001" w:csb1="00000000"/>
    <w:embedRegular r:id="rId5" w:fontKey="{8C57BAD9-CDE6-4CE8-96E1-75556291F4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32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DB5D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DB5D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OGZlYWMyNjIyZmI4NWMyZjc1ZTVhNjljMWJhNTQifQ=="/>
  </w:docVars>
  <w:rsids>
    <w:rsidRoot w:val="00000000"/>
    <w:rsid w:val="02D16896"/>
    <w:rsid w:val="07303057"/>
    <w:rsid w:val="125A756F"/>
    <w:rsid w:val="1E032152"/>
    <w:rsid w:val="20FF7618"/>
    <w:rsid w:val="240B6730"/>
    <w:rsid w:val="298570E5"/>
    <w:rsid w:val="36C623E9"/>
    <w:rsid w:val="394127EA"/>
    <w:rsid w:val="3F903C61"/>
    <w:rsid w:val="51D16900"/>
    <w:rsid w:val="58D248CB"/>
    <w:rsid w:val="6F3C2580"/>
    <w:rsid w:val="7F6B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2"/>
    <w:basedOn w:val="1"/>
    <w:qFormat/>
    <w:uiPriority w:val="0"/>
    <w:pPr>
      <w:spacing w:after="120" w:afterLines="0" w:afterAutospacing="0" w:line="480" w:lineRule="auto"/>
    </w:pPr>
  </w:style>
  <w:style w:type="paragraph" w:styleId="7">
    <w:name w:val="Normal (Web)"/>
    <w:basedOn w:val="1"/>
    <w:semiHidden/>
    <w:unhideWhenUsed/>
    <w:qFormat/>
    <w:uiPriority w:val="99"/>
    <w:pPr>
      <w:spacing w:before="0" w:beforeAutospacing="1" w:after="0" w:afterAutospacing="1"/>
      <w:ind w:left="0" w:right="0" w:firstLine="0" w:firstLineChars="0"/>
      <w:jc w:val="left"/>
    </w:pPr>
    <w:rPr>
      <w:rFonts w:asciiTheme="minorHAnsi" w:hAnsiTheme="minorHAnsi" w:eastAsiaTheme="minorEastAsia"/>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autoRedefine/>
    <w:qFormat/>
    <w:uiPriority w:val="34"/>
    <w:pPr>
      <w:spacing w:before="120" w:after="120"/>
      <w:ind w:firstLine="420" w:firstLineChars="200"/>
    </w:pPr>
    <w:rPr>
      <w:rFonts w:ascii="宋体" w:hAnsi="宋体"/>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1982</Words>
  <Characters>1984</Characters>
  <Lines>0</Lines>
  <Paragraphs>0</Paragraphs>
  <TotalTime>1</TotalTime>
  <ScaleCrop>false</ScaleCrop>
  <LinksUpToDate>false</LinksUpToDate>
  <CharactersWithSpaces>2023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2024-07-02T07:39:00Z</dcterms:created>
  <dc:creator>Administrator</dc:creator>
  <cp:lastModifiedBy>别扭。</cp:lastModifiedBy>
  <dcterms:modified xsi:type="dcterms:W3CDTF">2025-09-25T02:09:08Z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B4D457BEDCF847419E4D9A1BDFAD64D9_13</vt:lpwstr>
  </property>
  <property fmtid="{D5CDD505-2E9C-101B-9397-08002B2CF9AE}" pid="4" name="KSOTemplateDocerSaveRecord">
    <vt:lpwstr>eyJoZGlkIjoiNzRlOGZlYWMyNjIyZmI4NWMyZjc1ZTVhNjljMWJhNTQiLCJ1c2VySWQiOiIyMDU1OTgxMjkifQ==</vt:lpwstr>
  </property>
</Properties>
</file>